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D43251" w:rsidRDefault="00E13E6B" w:rsidP="00531D1E">
      <w:pPr>
        <w:ind w:left="2835" w:right="1843" w:hanging="992"/>
        <w:jc w:val="both"/>
        <w:rPr>
          <w:rFonts w:ascii="Tahoma" w:hAnsi="Tahoma" w:cs="Tahoma"/>
          <w:i/>
          <w:sz w:val="18"/>
          <w:szCs w:val="18"/>
        </w:rPr>
      </w:pPr>
      <w:r w:rsidRPr="00D43251">
        <w:rPr>
          <w:rFonts w:ascii="Tahoma" w:hAnsi="Tahoma" w:cs="Tahoma"/>
          <w:b/>
          <w:i/>
          <w:sz w:val="18"/>
          <w:szCs w:val="18"/>
        </w:rPr>
        <w:t xml:space="preserve">Sumilla: </w:t>
      </w:r>
      <w:r w:rsidR="00214D5E" w:rsidRPr="00D43251">
        <w:rPr>
          <w:rFonts w:ascii="Tahoma" w:hAnsi="Tahoma" w:cs="Tahoma"/>
          <w:b/>
          <w:i/>
          <w:sz w:val="18"/>
          <w:szCs w:val="18"/>
        </w:rPr>
        <w:t xml:space="preserve">    </w:t>
      </w:r>
      <w:r w:rsidR="00635F2E" w:rsidRPr="00D43251">
        <w:rPr>
          <w:rFonts w:ascii="Tahoma" w:hAnsi="Tahoma" w:cs="Tahoma"/>
          <w:b/>
          <w:i/>
          <w:sz w:val="18"/>
          <w:szCs w:val="18"/>
        </w:rPr>
        <w:t>“</w:t>
      </w:r>
      <w:r w:rsidR="00FF6B17" w:rsidRPr="00D43251">
        <w:rPr>
          <w:rFonts w:ascii="Tahoma" w:hAnsi="Tahoma" w:cs="Tahoma"/>
          <w:i/>
          <w:sz w:val="18"/>
          <w:szCs w:val="18"/>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al Contratista.</w:t>
      </w:r>
      <w:r w:rsidR="00635F2E" w:rsidRPr="00D43251">
        <w:rPr>
          <w:rFonts w:ascii="Tahoma" w:hAnsi="Tahoma" w:cs="Tahoma"/>
          <w:i/>
          <w:sz w:val="18"/>
          <w:szCs w:val="18"/>
        </w:rPr>
        <w:t>”.</w:t>
      </w:r>
    </w:p>
    <w:p w:rsidR="00E13E6B" w:rsidRPr="00D43251" w:rsidRDefault="00E13E6B" w:rsidP="00E13E6B">
      <w:pPr>
        <w:ind w:left="2268" w:right="1843"/>
        <w:jc w:val="both"/>
        <w:rPr>
          <w:rFonts w:ascii="Tahoma" w:hAnsi="Tahoma" w:cs="Tahoma"/>
          <w:b/>
          <w:i/>
          <w:sz w:val="20"/>
          <w:szCs w:val="20"/>
          <w:highlight w:val="yellow"/>
        </w:rPr>
      </w:pPr>
    </w:p>
    <w:p w:rsidR="00E13E6B" w:rsidRPr="00D43251" w:rsidRDefault="00E13E6B" w:rsidP="00E13E6B">
      <w:pPr>
        <w:pStyle w:val="Textoindependiente3"/>
        <w:ind w:left="4956" w:firstLine="708"/>
        <w:jc w:val="both"/>
        <w:rPr>
          <w:rFonts w:ascii="Tahoma" w:hAnsi="Tahoma" w:cs="Tahoma"/>
        </w:rPr>
      </w:pPr>
      <w:r w:rsidRPr="00D43251">
        <w:rPr>
          <w:rFonts w:ascii="Tahoma" w:hAnsi="Tahoma" w:cs="Tahoma"/>
        </w:rPr>
        <w:t xml:space="preserve">Lima, </w:t>
      </w:r>
      <w:r w:rsidR="002C4815">
        <w:rPr>
          <w:rFonts w:ascii="Tahoma" w:hAnsi="Tahoma" w:cs="Tahoma"/>
        </w:rPr>
        <w:t>07 de Abril de 2011</w:t>
      </w:r>
    </w:p>
    <w:p w:rsidR="00E13E6B" w:rsidRPr="00D43251" w:rsidRDefault="00E13E6B" w:rsidP="00E13E6B">
      <w:pPr>
        <w:pStyle w:val="Textoindependiente3"/>
        <w:jc w:val="both"/>
        <w:rPr>
          <w:rFonts w:ascii="Tahoma" w:hAnsi="Tahoma" w:cs="Tahoma"/>
          <w:b w:val="0"/>
          <w:lang w:val="es-ES"/>
        </w:rPr>
      </w:pPr>
    </w:p>
    <w:p w:rsidR="00E13E6B" w:rsidRPr="00D43251" w:rsidRDefault="00E13E6B" w:rsidP="00E13E6B">
      <w:pPr>
        <w:ind w:firstLine="708"/>
        <w:jc w:val="both"/>
        <w:rPr>
          <w:rFonts w:ascii="Tahoma" w:hAnsi="Tahoma" w:cs="Tahoma"/>
          <w:sz w:val="20"/>
          <w:szCs w:val="20"/>
        </w:rPr>
      </w:pPr>
      <w:r w:rsidRPr="00D43251">
        <w:rPr>
          <w:rFonts w:ascii="Tahoma" w:hAnsi="Tahoma" w:cs="Tahoma"/>
          <w:b/>
          <w:sz w:val="20"/>
          <w:szCs w:val="20"/>
        </w:rPr>
        <w:t>VISTO,</w:t>
      </w:r>
      <w:r w:rsidRPr="00D43251">
        <w:rPr>
          <w:rFonts w:ascii="Tahoma" w:hAnsi="Tahoma" w:cs="Tahoma"/>
          <w:sz w:val="20"/>
          <w:szCs w:val="20"/>
        </w:rPr>
        <w:t xml:space="preserve"> en sesión de fecha </w:t>
      </w:r>
      <w:r w:rsidR="00D43251">
        <w:rPr>
          <w:rFonts w:ascii="Tahoma" w:hAnsi="Tahoma" w:cs="Tahoma"/>
          <w:sz w:val="20"/>
          <w:szCs w:val="20"/>
        </w:rPr>
        <w:t>0</w:t>
      </w:r>
      <w:r w:rsidR="00036145">
        <w:rPr>
          <w:rFonts w:ascii="Tahoma" w:hAnsi="Tahoma" w:cs="Tahoma"/>
          <w:sz w:val="20"/>
          <w:szCs w:val="20"/>
        </w:rPr>
        <w:t>7</w:t>
      </w:r>
      <w:r w:rsidR="00D43251">
        <w:rPr>
          <w:rFonts w:ascii="Tahoma" w:hAnsi="Tahoma" w:cs="Tahoma"/>
          <w:sz w:val="20"/>
          <w:szCs w:val="20"/>
        </w:rPr>
        <w:t xml:space="preserve"> de abril </w:t>
      </w:r>
      <w:r w:rsidR="00531D1E" w:rsidRPr="00D43251">
        <w:rPr>
          <w:rFonts w:ascii="Tahoma" w:hAnsi="Tahoma" w:cs="Tahoma"/>
          <w:sz w:val="20"/>
          <w:szCs w:val="20"/>
        </w:rPr>
        <w:t>de 2011</w:t>
      </w:r>
      <w:r w:rsidRPr="00D43251">
        <w:rPr>
          <w:rFonts w:ascii="Tahoma" w:hAnsi="Tahoma" w:cs="Tahoma"/>
          <w:sz w:val="20"/>
          <w:szCs w:val="20"/>
        </w:rPr>
        <w:t xml:space="preserve"> de la </w:t>
      </w:r>
      <w:r w:rsidR="001776B6" w:rsidRPr="00D43251">
        <w:rPr>
          <w:rFonts w:ascii="Tahoma" w:hAnsi="Tahoma" w:cs="Tahoma"/>
          <w:sz w:val="20"/>
          <w:szCs w:val="20"/>
        </w:rPr>
        <w:t>Primera</w:t>
      </w:r>
      <w:r w:rsidRPr="00D43251">
        <w:rPr>
          <w:rFonts w:ascii="Tahoma" w:hAnsi="Tahoma" w:cs="Tahoma"/>
          <w:sz w:val="20"/>
          <w:szCs w:val="20"/>
        </w:rPr>
        <w:t xml:space="preserve"> Sala del Tribunal de Contrataciones del Estado el Expediente № </w:t>
      </w:r>
      <w:r w:rsidR="00D43251">
        <w:rPr>
          <w:rFonts w:ascii="Tahoma" w:hAnsi="Tahoma" w:cs="Tahoma"/>
          <w:sz w:val="20"/>
          <w:szCs w:val="20"/>
        </w:rPr>
        <w:t>1866</w:t>
      </w:r>
      <w:r w:rsidR="00531D1E" w:rsidRPr="00D43251">
        <w:rPr>
          <w:rFonts w:ascii="Tahoma" w:hAnsi="Tahoma" w:cs="Tahoma"/>
          <w:sz w:val="20"/>
          <w:szCs w:val="20"/>
        </w:rPr>
        <w:t>/20</w:t>
      </w:r>
      <w:r w:rsidR="00222218" w:rsidRPr="00D43251">
        <w:rPr>
          <w:rFonts w:ascii="Tahoma" w:hAnsi="Tahoma" w:cs="Tahoma"/>
          <w:sz w:val="20"/>
          <w:szCs w:val="20"/>
        </w:rPr>
        <w:t>10</w:t>
      </w:r>
      <w:r w:rsidRPr="00D43251">
        <w:rPr>
          <w:rFonts w:ascii="Tahoma" w:hAnsi="Tahoma" w:cs="Tahoma"/>
          <w:sz w:val="20"/>
          <w:szCs w:val="20"/>
        </w:rPr>
        <w:t>.TC, sobre procedimiento administrativo sancionador contra</w:t>
      </w:r>
      <w:r w:rsidR="00140241" w:rsidRPr="00D43251">
        <w:rPr>
          <w:rFonts w:ascii="Tahoma" w:hAnsi="Tahoma" w:cs="Tahoma"/>
          <w:sz w:val="20"/>
          <w:szCs w:val="20"/>
        </w:rPr>
        <w:t xml:space="preserve"> </w:t>
      </w:r>
      <w:r w:rsidR="00D43251" w:rsidRPr="00D43251">
        <w:rPr>
          <w:rFonts w:ascii="Tahoma" w:hAnsi="Tahoma" w:cs="Tahoma"/>
          <w:sz w:val="20"/>
          <w:szCs w:val="20"/>
        </w:rPr>
        <w:t>la empresa WISE TECHNOLOGIES E.I.R.L.</w:t>
      </w:r>
      <w:r w:rsidR="00D43251">
        <w:rPr>
          <w:rFonts w:ascii="Tahoma" w:hAnsi="Tahoma" w:cs="Tahoma"/>
          <w:sz w:val="20"/>
          <w:szCs w:val="20"/>
        </w:rPr>
        <w:t xml:space="preserve"> </w:t>
      </w:r>
      <w:r w:rsidRPr="00D43251">
        <w:rPr>
          <w:rFonts w:ascii="Tahoma" w:hAnsi="Tahoma" w:cs="Tahoma"/>
          <w:sz w:val="20"/>
          <w:szCs w:val="20"/>
        </w:rPr>
        <w:t xml:space="preserve">por supuesta responsabilidad en la resolución </w:t>
      </w:r>
      <w:r w:rsidR="00D43251">
        <w:rPr>
          <w:rFonts w:ascii="Tahoma" w:hAnsi="Tahoma" w:cs="Tahoma"/>
          <w:sz w:val="20"/>
          <w:szCs w:val="20"/>
        </w:rPr>
        <w:t xml:space="preserve">de la </w:t>
      </w:r>
      <w:r w:rsidR="00D43251" w:rsidRPr="00D43251">
        <w:rPr>
          <w:rFonts w:ascii="Tahoma" w:hAnsi="Tahoma" w:cs="Tahoma"/>
          <w:sz w:val="20"/>
          <w:szCs w:val="20"/>
        </w:rPr>
        <w:t>Orden de Compra № 2548</w:t>
      </w:r>
      <w:r w:rsidR="00214D5E" w:rsidRPr="00D43251">
        <w:rPr>
          <w:rFonts w:ascii="Tahoma" w:hAnsi="Tahoma" w:cs="Tahoma"/>
          <w:sz w:val="20"/>
          <w:szCs w:val="20"/>
        </w:rPr>
        <w:t xml:space="preserve"> </w:t>
      </w:r>
      <w:r w:rsidR="00822C2F" w:rsidRPr="00D43251">
        <w:rPr>
          <w:rFonts w:ascii="Tahoma" w:hAnsi="Tahoma" w:cs="Tahoma"/>
          <w:sz w:val="20"/>
          <w:szCs w:val="20"/>
        </w:rPr>
        <w:t xml:space="preserve">por causa atribuible a </w:t>
      </w:r>
      <w:r w:rsidR="00214D5E" w:rsidRPr="00D43251">
        <w:rPr>
          <w:rFonts w:ascii="Tahoma" w:hAnsi="Tahoma" w:cs="Tahoma"/>
          <w:sz w:val="20"/>
          <w:szCs w:val="20"/>
        </w:rPr>
        <w:t>él</w:t>
      </w:r>
      <w:r w:rsidR="00466DC8" w:rsidRPr="00D43251">
        <w:rPr>
          <w:rFonts w:ascii="Tahoma" w:hAnsi="Tahoma" w:cs="Tahoma"/>
          <w:sz w:val="20"/>
          <w:szCs w:val="20"/>
        </w:rPr>
        <w:t>, derivada</w:t>
      </w:r>
      <w:r w:rsidR="000B0A8A" w:rsidRPr="00D43251">
        <w:rPr>
          <w:rFonts w:ascii="Tahoma" w:hAnsi="Tahoma" w:cs="Tahoma"/>
          <w:sz w:val="20"/>
          <w:szCs w:val="20"/>
        </w:rPr>
        <w:t xml:space="preserve"> de la</w:t>
      </w:r>
      <w:r w:rsidRPr="00D43251">
        <w:rPr>
          <w:rFonts w:ascii="Tahoma" w:hAnsi="Tahoma" w:cs="Tahoma"/>
          <w:sz w:val="20"/>
          <w:szCs w:val="20"/>
        </w:rPr>
        <w:t xml:space="preserve"> </w:t>
      </w:r>
      <w:r w:rsidR="00D43251" w:rsidRPr="00D43251">
        <w:rPr>
          <w:rFonts w:ascii="Tahoma" w:hAnsi="Tahoma" w:cs="Tahoma"/>
          <w:sz w:val="20"/>
          <w:szCs w:val="20"/>
        </w:rPr>
        <w:t>Adjudicación de Menor Cuantía № 0285-2006-MGP/DIABASTE, tercera convocatoria</w:t>
      </w:r>
      <w:r w:rsidRPr="00D43251">
        <w:rPr>
          <w:rFonts w:ascii="Tahoma" w:hAnsi="Tahoma" w:cs="Tahoma"/>
          <w:sz w:val="20"/>
          <w:szCs w:val="20"/>
        </w:rPr>
        <w:t xml:space="preserve">, </w:t>
      </w:r>
      <w:r w:rsidR="00D43251">
        <w:rPr>
          <w:rFonts w:ascii="Tahoma" w:hAnsi="Tahoma" w:cs="Tahoma"/>
          <w:sz w:val="20"/>
          <w:szCs w:val="20"/>
        </w:rPr>
        <w:t xml:space="preserve">realizada por </w:t>
      </w:r>
      <w:r w:rsidR="00D43251" w:rsidRPr="00D43251">
        <w:rPr>
          <w:rFonts w:ascii="Tahoma" w:hAnsi="Tahoma" w:cs="Tahoma"/>
          <w:sz w:val="20"/>
          <w:szCs w:val="20"/>
        </w:rPr>
        <w:t>el Ministerio de Defensa</w:t>
      </w:r>
      <w:r w:rsidRPr="00D43251">
        <w:rPr>
          <w:rFonts w:ascii="Tahoma" w:hAnsi="Tahoma" w:cs="Tahoma"/>
          <w:sz w:val="20"/>
          <w:szCs w:val="20"/>
        </w:rPr>
        <w:t>, para</w:t>
      </w:r>
      <w:r w:rsidR="00903A92" w:rsidRPr="00D43251">
        <w:rPr>
          <w:rFonts w:ascii="Tahoma" w:hAnsi="Tahoma" w:cs="Tahoma"/>
          <w:sz w:val="20"/>
          <w:szCs w:val="20"/>
        </w:rPr>
        <w:t xml:space="preserve"> </w:t>
      </w:r>
      <w:r w:rsidR="00D43251" w:rsidRPr="00D43251">
        <w:rPr>
          <w:rFonts w:ascii="Tahoma" w:hAnsi="Tahoma" w:cs="Tahoma"/>
          <w:sz w:val="20"/>
          <w:szCs w:val="20"/>
        </w:rPr>
        <w:t>la “Adquisición de Repuestos Sistema Hidráulico</w:t>
      </w:r>
      <w:r w:rsidR="00D43251">
        <w:rPr>
          <w:rFonts w:ascii="Tahoma" w:hAnsi="Tahoma" w:cs="Tahoma"/>
          <w:sz w:val="20"/>
          <w:szCs w:val="20"/>
        </w:rPr>
        <w:t xml:space="preserve"> Aeronave Fokker F-27 (AB-212)”</w:t>
      </w:r>
      <w:r w:rsidRPr="00D43251">
        <w:rPr>
          <w:rFonts w:ascii="Tahoma" w:hAnsi="Tahoma" w:cs="Tahoma"/>
          <w:sz w:val="20"/>
          <w:szCs w:val="20"/>
        </w:rPr>
        <w:t xml:space="preserve">, y; atendiendo a los siguientes:  </w:t>
      </w:r>
    </w:p>
    <w:p w:rsidR="00E13E6B" w:rsidRPr="00D43251" w:rsidRDefault="00E13E6B" w:rsidP="00E13E6B">
      <w:pPr>
        <w:ind w:right="45"/>
        <w:jc w:val="both"/>
        <w:rPr>
          <w:rFonts w:ascii="Tahoma" w:hAnsi="Tahoma" w:cs="Tahoma"/>
          <w:b/>
          <w:sz w:val="20"/>
          <w:szCs w:val="20"/>
        </w:rPr>
      </w:pPr>
    </w:p>
    <w:p w:rsidR="00E13E6B" w:rsidRPr="00D43251" w:rsidRDefault="00E13E6B" w:rsidP="00E13E6B">
      <w:pPr>
        <w:ind w:firstLine="567"/>
        <w:jc w:val="both"/>
        <w:rPr>
          <w:rFonts w:ascii="Tahoma" w:hAnsi="Tahoma" w:cs="Tahoma"/>
          <w:b/>
          <w:sz w:val="20"/>
          <w:szCs w:val="20"/>
        </w:rPr>
      </w:pPr>
      <w:r w:rsidRPr="00D43251">
        <w:rPr>
          <w:rFonts w:ascii="Tahoma" w:hAnsi="Tahoma" w:cs="Tahoma"/>
          <w:b/>
          <w:sz w:val="20"/>
          <w:szCs w:val="20"/>
        </w:rPr>
        <w:t>ANTECEDENTES:</w:t>
      </w:r>
    </w:p>
    <w:p w:rsidR="00E13E6B" w:rsidRPr="00D43251" w:rsidRDefault="00E13E6B" w:rsidP="00E13E6B">
      <w:pPr>
        <w:ind w:left="426"/>
        <w:jc w:val="both"/>
        <w:rPr>
          <w:rFonts w:ascii="Tahoma" w:hAnsi="Tahoma" w:cs="Tahoma"/>
          <w:b/>
          <w:bCs/>
          <w:shadow/>
          <w:sz w:val="20"/>
          <w:szCs w:val="20"/>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sz w:val="20"/>
          <w:szCs w:val="20"/>
        </w:rPr>
        <w:t>El 10 Octubre 2006, el Ministerio de Defensa, en adelante la Entidad, convocó la Adjudicación de Menor Cuantía № 0285-2006-MGP/DIABASTE, tercera convocatoria, según relación de ítems, para la “Adquisición de Repuestos Sistema Hidráulico Aeronave Fokker F-27 (AB-212)”, por un valor referencial de S/. 30 040.06 (Treinta mil cuarenta con 06/100 nuevos soles), incluido los impuesto de ley.</w:t>
      </w:r>
    </w:p>
    <w:p w:rsidR="00D43251" w:rsidRPr="00D43251" w:rsidRDefault="00D43251" w:rsidP="00D43251">
      <w:pPr>
        <w:ind w:left="567"/>
        <w:rPr>
          <w:rFonts w:ascii="Tahoma" w:hAnsi="Tahoma" w:cs="Tahoma"/>
          <w:sz w:val="20"/>
          <w:szCs w:val="20"/>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sz w:val="20"/>
          <w:szCs w:val="20"/>
        </w:rPr>
        <w:t>Como resultado del proceso de selección, el 30 octubre 2006, se otorgó la Buena Pro de los ítems № 1 (Bushing), 4 (Bolt Special), 5 (Shim), 9 (“O” Ring), 10 (Ring Seal), 14 (Bearing), 15 (Hose), 16 (Hose, 17 (Hose), 18 (Hose), 19 (Pin), 20 (Pin) y 21 (Pin) a la empresa WISE TECHNOLOGIES E.I.R.L., por su oferta económica ascendente a S/. 9 657.66 nuevos soles.</w:t>
      </w:r>
    </w:p>
    <w:p w:rsidR="00D43251" w:rsidRPr="00D43251" w:rsidRDefault="00D43251" w:rsidP="00D43251">
      <w:pPr>
        <w:pStyle w:val="Prrafodelista"/>
        <w:rPr>
          <w:rFonts w:ascii="Tahoma" w:hAnsi="Tahoma" w:cs="Tahoma"/>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sz w:val="20"/>
          <w:szCs w:val="20"/>
        </w:rPr>
        <w:t xml:space="preserve">El 17 de noviembre de 2006, la Entidad remitió a la empresa WISE TECHNOLOGIES E.I.R.L., en adelante el Contratista, la Orden de Compra № 2548, para adquisición de repuestos sistema hidráulico aeronave fokker F-27 (AB-212), por el monto de S/. 9 657.66, y cuyo plazo de ejecución contractual sería de diez (10) días calendarios. </w:t>
      </w:r>
    </w:p>
    <w:p w:rsidR="00D43251" w:rsidRPr="00D43251" w:rsidRDefault="00D43251" w:rsidP="00D43251">
      <w:pPr>
        <w:pStyle w:val="Prrafodelista"/>
        <w:rPr>
          <w:rFonts w:ascii="Tahoma" w:hAnsi="Tahoma" w:cs="Tahoma"/>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sz w:val="20"/>
          <w:szCs w:val="20"/>
        </w:rPr>
        <w:t>A través de la Carta notarial de fecha 19 de diciembre de 2006, notificada el 26 del mismo mes y año, la Entidad comunicó al Contratista que habiéndose vencido el plazo para la entrega de los bienes ofertados, le otorgaba un plazo de siete (07) días calendarios a fin de que cumpla con sus obligaciones contractuales, bajo apercibimiento de resolver la Orden de Compra № 2548.</w:t>
      </w:r>
    </w:p>
    <w:p w:rsidR="00D43251" w:rsidRPr="00D43251" w:rsidRDefault="00D43251" w:rsidP="00D43251">
      <w:pPr>
        <w:pStyle w:val="Prrafodelista"/>
        <w:rPr>
          <w:rFonts w:ascii="Tahoma" w:hAnsi="Tahoma" w:cs="Tahoma"/>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sz w:val="20"/>
          <w:szCs w:val="20"/>
        </w:rPr>
        <w:t xml:space="preserve">A través de la Carta Notarial de fecha 07 de septiembre de 2007, diligenciada el 13 del mismo mes y año, la Entidad comunicó al Contratista que, al no haber cumplido con hacer </w:t>
      </w:r>
      <w:r w:rsidRPr="00D43251">
        <w:rPr>
          <w:rFonts w:ascii="Tahoma" w:hAnsi="Tahoma" w:cs="Tahoma"/>
          <w:sz w:val="20"/>
          <w:szCs w:val="20"/>
        </w:rPr>
        <w:lastRenderedPageBreak/>
        <w:t>efectivo el internamiento de los bienes materia de respecto de los ítems №s 1, 10 y 14, procedía a resolver la Orden de Compra № 2548; por causal atribuible a su parte.</w:t>
      </w:r>
    </w:p>
    <w:p w:rsidR="00D43251" w:rsidRPr="00D43251" w:rsidRDefault="00D43251" w:rsidP="00D43251">
      <w:pPr>
        <w:pStyle w:val="Prrafodelista"/>
        <w:rPr>
          <w:rFonts w:ascii="Tahoma" w:hAnsi="Tahoma" w:cs="Tahoma"/>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sz w:val="20"/>
          <w:szCs w:val="20"/>
        </w:rPr>
        <w:t>Con escrito presentado el 30 de diciembre de 2010, la Entidad puso en conocimiento del Tribunal de Contrataciones del Estado, en adelante el Tribunal, la supuesta responsabilidad del Contratista en la resolución de la Orden de Compra № 2548 de fecha 17 de noviembre de 2006, por causal atribuible a su parte, derivado del acotado proceso de selección, pese a haber sido requerida de acuerdo con la legislación vigente. Asimismo, la Entidad indicó que a la fecha no existe proceso arbitral u otro mecanismo que se haya iniciado.</w:t>
      </w:r>
    </w:p>
    <w:p w:rsidR="00D43251" w:rsidRPr="00D43251" w:rsidRDefault="00D43251" w:rsidP="00D43251">
      <w:pPr>
        <w:pStyle w:val="Prrafodelista"/>
        <w:rPr>
          <w:rFonts w:ascii="Tahoma" w:hAnsi="Tahoma" w:cs="Tahoma"/>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bCs/>
          <w:sz w:val="20"/>
          <w:szCs w:val="20"/>
        </w:rPr>
        <w:t xml:space="preserve">Mediante decreto de fecha 05 de enero de 2011, notificado el 02 de febrero del mismo año, previamente al inicio del procedimiento administrativo sancionador, el Tribunal requirió a la Entidad que remita, entre otros, copia legible de la </w:t>
      </w:r>
      <w:r w:rsidRPr="00D43251">
        <w:rPr>
          <w:rFonts w:ascii="Tahoma" w:hAnsi="Tahoma" w:cs="Tahoma"/>
          <w:sz w:val="20"/>
          <w:szCs w:val="20"/>
        </w:rPr>
        <w:t>Orden de Compra № 2548</w:t>
      </w:r>
      <w:r w:rsidRPr="00D43251">
        <w:rPr>
          <w:rFonts w:ascii="Tahoma" w:hAnsi="Tahoma" w:cs="Tahoma"/>
          <w:bCs/>
          <w:sz w:val="20"/>
          <w:szCs w:val="20"/>
        </w:rPr>
        <w:t>; bajo apercibimiento de poner en conocimiento de la Controlaría General de la República.</w:t>
      </w:r>
    </w:p>
    <w:p w:rsidR="00D43251" w:rsidRPr="00D43251" w:rsidRDefault="00D43251" w:rsidP="00D43251">
      <w:pPr>
        <w:pStyle w:val="Prrafodelista"/>
        <w:rPr>
          <w:rFonts w:ascii="Tahoma" w:hAnsi="Tahoma" w:cs="Tahoma"/>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sz w:val="20"/>
          <w:szCs w:val="20"/>
        </w:rPr>
        <w:t>En atención a ello, a través del escrito presentado el 10 de febrero de 2011, la Entidad cumplió con presentar la documentación solicitada por el Tribunal.</w:t>
      </w:r>
    </w:p>
    <w:p w:rsidR="00D43251" w:rsidRPr="00D43251" w:rsidRDefault="00D43251" w:rsidP="00D43251">
      <w:pPr>
        <w:ind w:left="567"/>
        <w:rPr>
          <w:rFonts w:ascii="Tahoma" w:hAnsi="Tahoma" w:cs="Tahoma"/>
          <w:sz w:val="20"/>
          <w:szCs w:val="20"/>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sz w:val="20"/>
          <w:szCs w:val="20"/>
        </w:rPr>
        <w:t>Con decreto de fecha 16 de febrero de 2011, notificado el 28 del mismo mes y año, el Tribunal inició el procedimiento administrativo sancionador contra el Contratista por su supuesta responsabilidad en la resolución de la Orden de Compra № 2548 de fecha 17 de noviembre de 2006, derivada de los ítems №s 1, 10 y 14 de la Adjudicación de Menor Cuantía № 0285-2006-MGP/DIABASTE, tercera convocatoria, por causal atribuible a su parte, infracción tipificada en el numera 2) del artículo 294 del Reglamento de Contrataciones y Adquisiciones del Estado. Asimismo, se le requirió para que en el plazo de diez (10) días hábiles cumpliera con presentar su escrito de descargos.</w:t>
      </w:r>
    </w:p>
    <w:p w:rsidR="00D43251" w:rsidRPr="00D43251" w:rsidRDefault="00D43251" w:rsidP="00D43251">
      <w:pPr>
        <w:pStyle w:val="Prrafodelista"/>
        <w:rPr>
          <w:rFonts w:ascii="Tahoma" w:hAnsi="Tahoma" w:cs="Tahoma"/>
        </w:rPr>
      </w:pPr>
    </w:p>
    <w:p w:rsidR="00D43251" w:rsidRPr="00D43251" w:rsidRDefault="00D43251" w:rsidP="00D43251">
      <w:pPr>
        <w:numPr>
          <w:ilvl w:val="0"/>
          <w:numId w:val="19"/>
        </w:numPr>
        <w:ind w:left="567" w:hanging="567"/>
        <w:jc w:val="both"/>
        <w:rPr>
          <w:rFonts w:ascii="Tahoma" w:hAnsi="Tahoma" w:cs="Tahoma"/>
          <w:sz w:val="20"/>
          <w:szCs w:val="20"/>
        </w:rPr>
      </w:pPr>
      <w:r w:rsidRPr="00D43251">
        <w:rPr>
          <w:rFonts w:ascii="Tahoma" w:hAnsi="Tahoma" w:cs="Tahoma"/>
          <w:sz w:val="20"/>
          <w:szCs w:val="20"/>
        </w:rPr>
        <w:t>Habiendo transcurrido el plazo otorgado, sin que el Contratista cumpliera con presentar sus descargos respectivos, con decreto de fecha 16 de marzo de 2011, previa razón de Secretaria del Tribunal, se hizo efectivo el apercibimiento de resolver con la documentación obrante en autos.</w:t>
      </w:r>
    </w:p>
    <w:p w:rsidR="006E5571" w:rsidRPr="00D43251" w:rsidRDefault="006E5571" w:rsidP="00E13E6B">
      <w:pPr>
        <w:pStyle w:val="Textoindependiente"/>
        <w:tabs>
          <w:tab w:val="left" w:pos="-2340"/>
          <w:tab w:val="left" w:pos="540"/>
        </w:tabs>
        <w:spacing w:after="0"/>
        <w:ind w:left="180" w:hanging="180"/>
        <w:jc w:val="both"/>
        <w:rPr>
          <w:rFonts w:ascii="Tahoma" w:hAnsi="Tahoma" w:cs="Tahoma"/>
          <w:b/>
          <w:sz w:val="20"/>
          <w:szCs w:val="20"/>
        </w:rPr>
      </w:pPr>
    </w:p>
    <w:p w:rsidR="00E13E6B" w:rsidRPr="00D43251"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D43251">
        <w:rPr>
          <w:rFonts w:ascii="Tahoma" w:hAnsi="Tahoma" w:cs="Tahoma"/>
          <w:b/>
          <w:sz w:val="20"/>
          <w:szCs w:val="20"/>
        </w:rPr>
        <w:tab/>
      </w:r>
      <w:r w:rsidRPr="00D43251">
        <w:rPr>
          <w:rFonts w:ascii="Tahoma" w:hAnsi="Tahoma" w:cs="Tahoma"/>
          <w:b/>
          <w:sz w:val="20"/>
          <w:szCs w:val="20"/>
        </w:rPr>
        <w:tab/>
        <w:t>FUNDAMENTACIÓN:</w:t>
      </w:r>
    </w:p>
    <w:p w:rsidR="00E13E6B" w:rsidRPr="00D43251" w:rsidRDefault="00E13E6B" w:rsidP="00E13E6B">
      <w:pPr>
        <w:pStyle w:val="Sangradetextonormal"/>
        <w:spacing w:after="0"/>
        <w:ind w:left="0"/>
        <w:jc w:val="both"/>
        <w:rPr>
          <w:rFonts w:ascii="Tahoma" w:hAnsi="Tahoma" w:cs="Tahoma"/>
          <w:sz w:val="20"/>
          <w:szCs w:val="20"/>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D43251" w:rsidRPr="00D43251" w:rsidRDefault="00D43251" w:rsidP="00D43251">
      <w:pPr>
        <w:pStyle w:val="Prrafodelista"/>
        <w:ind w:left="567"/>
        <w:rPr>
          <w:rFonts w:ascii="Tahoma" w:hAnsi="Tahoma" w:cs="Tahoma"/>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D43251">
        <w:rPr>
          <w:rFonts w:ascii="Tahoma" w:hAnsi="Tahoma" w:cs="Tahoma"/>
          <w:lang w:val="es-MX"/>
        </w:rPr>
        <w:t>51 y 52 de la Ley de Contrataciones del Estado,</w:t>
      </w:r>
      <w:r w:rsidRPr="00D43251">
        <w:rPr>
          <w:rFonts w:ascii="Tahoma" w:hAnsi="Tahoma" w:cs="Tahoma"/>
        </w:rPr>
        <w:t xml:space="preserve"> aprobada mediante Decreto Legislativo № 1017,</w:t>
      </w:r>
      <w:r w:rsidRPr="00D43251">
        <w:rPr>
          <w:rFonts w:ascii="Tahoma" w:hAnsi="Tahoma" w:cs="Tahoma"/>
          <w:lang w:val="es-MX"/>
        </w:rPr>
        <w:t xml:space="preserve"> </w:t>
      </w:r>
      <w:r w:rsidRPr="00D43251">
        <w:rPr>
          <w:rFonts w:ascii="Tahoma" w:hAnsi="Tahoma" w:cs="Tahoma"/>
        </w:rPr>
        <w:t>norma aplicable al momento de la presunta comisión de la infracción</w:t>
      </w:r>
      <w:r w:rsidRPr="00D43251">
        <w:rPr>
          <w:rFonts w:ascii="Tahoma" w:hAnsi="Tahoma" w:cs="Tahoma"/>
          <w:lang w:val="es-MX"/>
        </w:rPr>
        <w:t xml:space="preserve">, y en los casos expresamente previstos en el artículo 237 de su Reglamento, aprobado mediante Decreto </w:t>
      </w:r>
      <w:r w:rsidRPr="00D43251">
        <w:rPr>
          <w:rFonts w:ascii="Tahoma" w:hAnsi="Tahoma" w:cs="Tahoma"/>
          <w:lang w:val="es-MX"/>
        </w:rPr>
        <w:lastRenderedPageBreak/>
        <w:t xml:space="preserve">Supremo </w:t>
      </w:r>
      <w:r w:rsidRPr="00D43251">
        <w:rPr>
          <w:rFonts w:ascii="Tahoma" w:hAnsi="Tahoma" w:cs="Tahoma"/>
        </w:rPr>
        <w:t xml:space="preserve">№ 184-2008-EF, </w:t>
      </w:r>
      <w:r w:rsidRPr="00D43251">
        <w:rPr>
          <w:rFonts w:ascii="Tahoma" w:hAnsi="Tahoma" w:cs="Tahoma"/>
          <w:lang w:val="es-MX"/>
        </w:rPr>
        <w:t>sin perjuicio de las acciones legales que les corresponda adoptar a las Entidades, dentro de sus respectivas atribuciones, en salvaguarda de sus intereses</w:t>
      </w:r>
      <w:r w:rsidRPr="00D43251">
        <w:rPr>
          <w:rFonts w:ascii="Tahoma" w:hAnsi="Tahoma" w:cs="Tahoma"/>
        </w:rPr>
        <w:t>.</w:t>
      </w:r>
    </w:p>
    <w:p w:rsidR="00D43251" w:rsidRPr="00D43251" w:rsidRDefault="00D43251" w:rsidP="00D43251">
      <w:pPr>
        <w:pStyle w:val="Prrafodelista"/>
        <w:rPr>
          <w:rFonts w:ascii="Tahoma" w:hAnsi="Tahoma" w:cs="Tahoma"/>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El presente procedimiento está referido a la supuesta responsabilidad del Contratista por la resolución de la Orden de Compra № 2548 de fecha 17 de noviembre de 2006 por causal atribuible a su parte, derivada del los ítems № 1, 10 y 14 de la Adjudicación de Menor Cuantía № 0285-2006-MGP/DIABASTE, tercera convocatoria; supuesto de hecho del tipo legal previsto en el numeral 2) del artículo 294</w:t>
      </w:r>
      <w:bookmarkStart w:id="0" w:name="_ftnref2"/>
      <w:r w:rsidR="005463C8" w:rsidRPr="00D43251">
        <w:rPr>
          <w:rFonts w:ascii="Tahoma" w:hAnsi="Tahoma" w:cs="Tahoma"/>
        </w:rPr>
        <w:fldChar w:fldCharType="begin"/>
      </w:r>
      <w:r w:rsidRPr="00D43251">
        <w:rPr>
          <w:rFonts w:ascii="Tahoma" w:hAnsi="Tahoma" w:cs="Tahoma"/>
        </w:rPr>
        <w:instrText xml:space="preserve"> HYPERLINK "file:///C:\\Documents%20and%20Settings\\gllano\\Configuración%20local\\Temp\\RES590-2007-TC-S3.htm" \l "_ftn2#_ftn2" \o "" </w:instrText>
      </w:r>
      <w:r w:rsidR="005463C8" w:rsidRPr="00D43251">
        <w:rPr>
          <w:rFonts w:ascii="Tahoma" w:hAnsi="Tahoma" w:cs="Tahoma"/>
        </w:rPr>
        <w:fldChar w:fldCharType="end"/>
      </w:r>
      <w:bookmarkEnd w:id="0"/>
      <w:r w:rsidRPr="00D43251">
        <w:rPr>
          <w:rFonts w:ascii="Tahoma" w:hAnsi="Tahoma" w:cs="Tahoma"/>
        </w:rPr>
        <w:t xml:space="preserve"> del Reglamento</w:t>
      </w:r>
      <w:r w:rsidRPr="00D43251">
        <w:rPr>
          <w:rStyle w:val="Refdenotaalpie"/>
          <w:rFonts w:ascii="Tahoma" w:hAnsi="Tahoma" w:cs="Tahoma"/>
        </w:rPr>
        <w:footnoteReference w:id="2"/>
      </w:r>
      <w:r w:rsidRPr="00D43251">
        <w:rPr>
          <w:rFonts w:ascii="Tahoma" w:hAnsi="Tahoma" w:cs="Tahoma"/>
        </w:rPr>
        <w:t>, norma vigente al momento de suscitado el hecho imputado.</w:t>
      </w:r>
    </w:p>
    <w:p w:rsidR="00D43251" w:rsidRPr="00D43251" w:rsidRDefault="00D43251" w:rsidP="00D43251">
      <w:pPr>
        <w:pStyle w:val="Prrafodelista"/>
        <w:rPr>
          <w:rFonts w:ascii="Tahoma" w:hAnsi="Tahoma" w:cs="Tahoma"/>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La infracción tipificada en el numeral 2) del artículo 294 del Reglamento, ha establecido como supuesto de hecho indispensable para su configuración, la resolución del contrato, orden de compra o de servicios, según corresponda, por causal atribuible a los contratistas.</w:t>
      </w:r>
    </w:p>
    <w:p w:rsidR="00D43251" w:rsidRPr="00D43251" w:rsidRDefault="00D43251" w:rsidP="00D43251">
      <w:pPr>
        <w:pStyle w:val="Prrafodelista"/>
        <w:rPr>
          <w:rFonts w:ascii="Tahoma" w:hAnsi="Tahoma" w:cs="Tahoma"/>
          <w:lang w:val="es-MX"/>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lang w:val="es-MX"/>
        </w:rPr>
        <w:t xml:space="preserve">Al respecto, </w:t>
      </w:r>
      <w:r w:rsidRPr="00D43251">
        <w:rPr>
          <w:rFonts w:ascii="Tahoma" w:hAnsi="Tahoma" w:cs="Tahoma"/>
        </w:rPr>
        <w:t>el artículo 197 del Reglamento prevé que en los casos de adjudicaciones de menor cuantía, el contrato se perfeccionará con la recepción de la orden de compra o de servicio, constituyéndose en un documento contractual, para lo cual la Entidad deberá seguir las formalidades previstas por la Ley para su resolución.</w:t>
      </w:r>
    </w:p>
    <w:p w:rsidR="00D43251" w:rsidRPr="00D43251" w:rsidRDefault="00D43251" w:rsidP="00D43251">
      <w:pPr>
        <w:pStyle w:val="Prrafodelista"/>
        <w:rPr>
          <w:rFonts w:ascii="Tahoma" w:hAnsi="Tahoma" w:cs="Tahoma"/>
        </w:rPr>
      </w:pPr>
    </w:p>
    <w:p w:rsidR="00D43251" w:rsidRPr="00D43251" w:rsidRDefault="00D43251" w:rsidP="00D43251">
      <w:pPr>
        <w:pStyle w:val="Prrafodelista"/>
        <w:ind w:left="567"/>
        <w:rPr>
          <w:rFonts w:ascii="Tahoma" w:hAnsi="Tahoma" w:cs="Tahoma"/>
        </w:rPr>
      </w:pPr>
      <w:r w:rsidRPr="00D43251">
        <w:rPr>
          <w:rFonts w:ascii="Tahoma" w:hAnsi="Tahoma" w:cs="Tahoma"/>
        </w:rPr>
        <w:t xml:space="preserve">En ese orden de ideas, tenemos que los contratos se perfeccionan con la suscripción del documento que lo contiene, siendo que en el caso de relaciones contractuales derivadas de procesos de adjudicaciones de menores cuantías —y cuando se haya optado por emitir solamente una orden de compra o de servicio— dicho perfeccionamiento se dará con la recepción por parte del contratista de ese documento. </w:t>
      </w:r>
    </w:p>
    <w:p w:rsidR="00D43251" w:rsidRPr="00D43251" w:rsidRDefault="00D43251" w:rsidP="00D43251">
      <w:pPr>
        <w:pStyle w:val="Prrafodelista"/>
        <w:ind w:left="567"/>
        <w:rPr>
          <w:rFonts w:ascii="Tahoma" w:hAnsi="Tahoma" w:cs="Tahoma"/>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Sobre el particular, el artículo 225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D43251" w:rsidRPr="00D43251" w:rsidRDefault="00D43251" w:rsidP="00D43251">
      <w:pPr>
        <w:pStyle w:val="Prrafodelista"/>
        <w:rPr>
          <w:rFonts w:ascii="Tahoma" w:hAnsi="Tahoma" w:cs="Tahoma"/>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 xml:space="preserve">Ahora bien, el procedimiento de resolución contractual, cuya observancia es condición necesaria para evaluar la existencia de eventuales responsabilidades de carácter administrativo, se encuentra previsto en el artículo 226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w:t>
      </w:r>
      <w:r w:rsidRPr="00D43251">
        <w:rPr>
          <w:rFonts w:ascii="Tahoma" w:hAnsi="Tahoma" w:cs="Tahoma"/>
        </w:rPr>
        <w:lastRenderedPageBreak/>
        <w:t xml:space="preserve">contrato. De continuar el incumplimiento contractual, la citada disposición reglamentaria precisa que la parte perjudicada comunicará notarialmente la resolución total o parcial del contrato. </w:t>
      </w:r>
    </w:p>
    <w:p w:rsidR="00D43251" w:rsidRPr="00D43251" w:rsidRDefault="00D43251" w:rsidP="00D43251">
      <w:pPr>
        <w:pStyle w:val="Prrafodelista"/>
        <w:rPr>
          <w:rFonts w:ascii="Tahoma" w:hAnsi="Tahoma" w:cs="Tahoma"/>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D43251" w:rsidRPr="00D43251" w:rsidRDefault="00D43251" w:rsidP="00D43251">
      <w:pPr>
        <w:pStyle w:val="Prrafodelista"/>
        <w:rPr>
          <w:rFonts w:ascii="Tahoma" w:hAnsi="Tahoma" w:cs="Tahoma"/>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Este criterio, además, ha sido recogido en el Acuerdo de Sala Plena № 018/010 del 4 de setiembre de 2002</w:t>
      </w:r>
      <w:r w:rsidRPr="00D43251">
        <w:rPr>
          <w:rStyle w:val="Refdenotaalpie"/>
          <w:rFonts w:ascii="Tahoma" w:hAnsi="Tahoma" w:cs="Tahoma"/>
        </w:rPr>
        <w:footnoteReference w:id="3"/>
      </w:r>
      <w:r w:rsidRPr="00D43251">
        <w:rPr>
          <w:rFonts w:ascii="Tahoma" w:hAnsi="Tahoma" w:cs="Tahoma"/>
        </w:rPr>
        <w:t xml:space="preserve">, en el que el Tribunal expresamente dispuso que, para la imposición de sanción por la causal que nos ocupa, las Entidades denunciantes deberán presentar la documentación que acredite haber dado cumplimiento al procedimiento de resolución antes expuesto, </w:t>
      </w:r>
      <w:r w:rsidRPr="00D43251">
        <w:rPr>
          <w:rFonts w:ascii="Tahoma" w:hAnsi="Tahoma" w:cs="Tahoma"/>
          <w:u w:val="single"/>
        </w:rPr>
        <w:t>es decir el envío de la carta notarial de requerimiento previo al Contratista para el cumplimiento de la obligación y la carta notarial mediante la cual se le comunica el Acuerdo o Resolución que resuelve el contrato</w:t>
      </w:r>
      <w:r w:rsidRPr="00D43251">
        <w:rPr>
          <w:rFonts w:ascii="Tahoma" w:hAnsi="Tahoma" w:cs="Tahoma"/>
        </w:rPr>
        <w:t>,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D43251" w:rsidRPr="00D43251" w:rsidRDefault="00D43251" w:rsidP="00D43251">
      <w:pPr>
        <w:pStyle w:val="Prrafodelista"/>
        <w:rPr>
          <w:rFonts w:ascii="Tahoma" w:hAnsi="Tahoma" w:cs="Tahoma"/>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 xml:space="preserve">En ese orden de ideas, corresponde determinar de manera previa si la Entidad ha seguido el debido procedimiento para la resolución de la citada orden de compra, conforme a lo previsto en los artículos 225 y 226 del Reglamento. </w:t>
      </w:r>
    </w:p>
    <w:p w:rsidR="00D43251" w:rsidRPr="00D43251" w:rsidRDefault="00D43251" w:rsidP="00D43251">
      <w:pPr>
        <w:pStyle w:val="Prrafodelista"/>
        <w:rPr>
          <w:rFonts w:ascii="Tahoma" w:hAnsi="Tahoma" w:cs="Tahoma"/>
        </w:rPr>
      </w:pPr>
    </w:p>
    <w:p w:rsidR="00D43251" w:rsidRPr="00D43251" w:rsidRDefault="00D43251" w:rsidP="00D43251">
      <w:pPr>
        <w:pStyle w:val="Prrafodelista"/>
        <w:numPr>
          <w:ilvl w:val="0"/>
          <w:numId w:val="4"/>
        </w:numPr>
        <w:ind w:left="567" w:hanging="567"/>
        <w:jc w:val="both"/>
        <w:rPr>
          <w:rFonts w:ascii="Tahoma" w:hAnsi="Tahoma" w:cs="Tahoma"/>
        </w:rPr>
      </w:pPr>
      <w:r w:rsidRPr="00D43251">
        <w:rPr>
          <w:rFonts w:ascii="Tahoma" w:hAnsi="Tahoma" w:cs="Tahoma"/>
        </w:rPr>
        <w:t>Sobre el particular, de la documentación obrante en autos, se observa que la Entidad remitió al Contratista, las siguientes comunicaciones:</w:t>
      </w:r>
    </w:p>
    <w:p w:rsidR="00D43251" w:rsidRPr="00D43251" w:rsidRDefault="00D43251" w:rsidP="00D43251">
      <w:pPr>
        <w:pStyle w:val="Prrafodelista"/>
        <w:rPr>
          <w:rFonts w:ascii="Tahoma" w:hAnsi="Tahoma" w:cs="Tahoma"/>
        </w:rPr>
      </w:pPr>
    </w:p>
    <w:p w:rsidR="00D43251" w:rsidRPr="00D43251" w:rsidRDefault="00D43251" w:rsidP="00D43251">
      <w:pPr>
        <w:numPr>
          <w:ilvl w:val="0"/>
          <w:numId w:val="27"/>
        </w:numPr>
        <w:tabs>
          <w:tab w:val="clear" w:pos="360"/>
          <w:tab w:val="num" w:pos="1276"/>
        </w:tabs>
        <w:ind w:left="1276" w:hanging="567"/>
        <w:jc w:val="both"/>
        <w:rPr>
          <w:rFonts w:ascii="Tahoma" w:hAnsi="Tahoma" w:cs="Tahoma"/>
          <w:sz w:val="20"/>
          <w:szCs w:val="20"/>
        </w:rPr>
      </w:pPr>
      <w:r w:rsidRPr="00D43251">
        <w:rPr>
          <w:rFonts w:ascii="Tahoma" w:hAnsi="Tahoma" w:cs="Tahoma"/>
          <w:sz w:val="20"/>
          <w:szCs w:val="20"/>
        </w:rPr>
        <w:t>A través de la Carta Notarial de fecha 19 de diciembre de 2006, notificada el 26 del mismo mes y año, la Entidad comunicó al Contratista que habiéndose vencido el plazo para la entrega de los bienes ofertados, le otorgaba un plazo de siete (07) días calendarios a fin de que cumpla con sus obligaciones contractuales, bajo apercibimiento de resolver la Orden de Compra № 2548.</w:t>
      </w:r>
    </w:p>
    <w:p w:rsidR="00D43251" w:rsidRPr="00D43251" w:rsidRDefault="00D43251" w:rsidP="00D43251">
      <w:pPr>
        <w:ind w:left="1276"/>
        <w:rPr>
          <w:rFonts w:ascii="Tahoma" w:hAnsi="Tahoma" w:cs="Tahoma"/>
          <w:sz w:val="20"/>
          <w:szCs w:val="20"/>
        </w:rPr>
      </w:pPr>
    </w:p>
    <w:p w:rsidR="00D43251" w:rsidRPr="00D43251" w:rsidRDefault="00D43251" w:rsidP="00D43251">
      <w:pPr>
        <w:numPr>
          <w:ilvl w:val="0"/>
          <w:numId w:val="27"/>
        </w:numPr>
        <w:tabs>
          <w:tab w:val="clear" w:pos="360"/>
          <w:tab w:val="num" w:pos="1276"/>
        </w:tabs>
        <w:ind w:left="1276" w:hanging="567"/>
        <w:jc w:val="both"/>
        <w:rPr>
          <w:rFonts w:ascii="Tahoma" w:hAnsi="Tahoma" w:cs="Tahoma"/>
          <w:sz w:val="20"/>
          <w:szCs w:val="20"/>
        </w:rPr>
      </w:pPr>
      <w:r w:rsidRPr="00D43251">
        <w:rPr>
          <w:rFonts w:ascii="Tahoma" w:hAnsi="Tahoma" w:cs="Tahoma"/>
          <w:sz w:val="20"/>
          <w:szCs w:val="20"/>
        </w:rPr>
        <w:t>Habiéndose vencido el plazo otorgado, sin que el Contratista cumpliera con los requerimientos formulados, mediante Carta Notarial de fecha 07 de septiembre de 2007, diligenciada el 13 del mismo mes y año, la Entidad comunicó al Contratista la resolución de la Orden de Compra № 2548 respecto de los ítems №s 1, 10 y 14; por causal atribuible a su parte.</w:t>
      </w:r>
    </w:p>
    <w:p w:rsidR="00D43251" w:rsidRPr="00D43251" w:rsidRDefault="00D43251" w:rsidP="00D43251">
      <w:pPr>
        <w:pStyle w:val="Prrafodelista"/>
        <w:rPr>
          <w:rFonts w:ascii="Tahoma" w:hAnsi="Tahoma" w:cs="Tahoma"/>
        </w:rPr>
      </w:pPr>
    </w:p>
    <w:p w:rsidR="00D43251" w:rsidRPr="00D43251" w:rsidRDefault="00D43251" w:rsidP="00D43251">
      <w:pPr>
        <w:pStyle w:val="Textoindependiente"/>
        <w:widowControl w:val="0"/>
        <w:numPr>
          <w:ilvl w:val="0"/>
          <w:numId w:val="4"/>
        </w:numPr>
        <w:suppressAutoHyphens/>
        <w:spacing w:after="0"/>
        <w:ind w:left="567" w:hanging="567"/>
        <w:jc w:val="both"/>
        <w:rPr>
          <w:rFonts w:ascii="Tahoma" w:hAnsi="Tahoma" w:cs="Tahoma"/>
          <w:sz w:val="20"/>
          <w:szCs w:val="20"/>
        </w:rPr>
      </w:pPr>
      <w:r w:rsidRPr="00D43251">
        <w:rPr>
          <w:rFonts w:ascii="Tahoma" w:hAnsi="Tahoma" w:cs="Tahoma"/>
          <w:sz w:val="20"/>
          <w:szCs w:val="20"/>
        </w:rPr>
        <w:t xml:space="preserve">En tal sentido, se verifica que la Entidad ha observado la formalidad establecida en el </w:t>
      </w:r>
      <w:r w:rsidRPr="00D43251">
        <w:rPr>
          <w:rFonts w:ascii="Tahoma" w:hAnsi="Tahoma" w:cs="Tahoma"/>
          <w:sz w:val="20"/>
          <w:szCs w:val="20"/>
        </w:rPr>
        <w:lastRenderedPageBreak/>
        <w:t>artículo 225 y 226 del Reglamento, requisito indispensable de verificación del cumplimiento del debido procedimiento de resolución de contrato, a fin que la acción del Contratista al haber incumplido sus obligaciones contractuales -que dio lugar a la resolución del contrato por causa atribuible a su parte- sea típica.</w:t>
      </w:r>
    </w:p>
    <w:p w:rsidR="00D43251" w:rsidRPr="00D43251" w:rsidRDefault="00D43251" w:rsidP="00D43251">
      <w:pPr>
        <w:pStyle w:val="Prrafodelista"/>
        <w:rPr>
          <w:rFonts w:ascii="Tahoma" w:hAnsi="Tahoma" w:cs="Tahoma"/>
        </w:rPr>
      </w:pPr>
    </w:p>
    <w:p w:rsidR="00D43251" w:rsidRPr="00D43251" w:rsidRDefault="00D43251" w:rsidP="00D43251">
      <w:pPr>
        <w:pStyle w:val="Textoindependiente"/>
        <w:widowControl w:val="0"/>
        <w:numPr>
          <w:ilvl w:val="0"/>
          <w:numId w:val="4"/>
        </w:numPr>
        <w:suppressAutoHyphens/>
        <w:spacing w:after="0"/>
        <w:ind w:left="567" w:hanging="567"/>
        <w:jc w:val="both"/>
        <w:rPr>
          <w:rFonts w:ascii="Tahoma" w:hAnsi="Tahoma" w:cs="Tahoma"/>
          <w:sz w:val="20"/>
          <w:szCs w:val="20"/>
        </w:rPr>
      </w:pPr>
      <w:r w:rsidRPr="00D43251">
        <w:rPr>
          <w:rFonts w:ascii="Tahoma" w:hAnsi="Tahoma" w:cs="Tahoma"/>
          <w:sz w:val="20"/>
          <w:szCs w:val="20"/>
        </w:rPr>
        <w:t>Al respecto, es importante señalar que según lo informado por la Entidad en su escrito de fecha 30 de diciembre de 2010, la resolución del contrato (orden de compra) no fue discutida por el Contratista en vía de conciliación o arbitraje dentro de los plazos indicados en el artículo 227 del Reglamento, por lo que, en atención a lo dispuesto en la cita norma, la misma quedó consentida.</w:t>
      </w:r>
    </w:p>
    <w:p w:rsidR="00D43251" w:rsidRPr="00D43251" w:rsidRDefault="00D43251" w:rsidP="00D43251">
      <w:pPr>
        <w:pStyle w:val="Prrafodelista"/>
        <w:rPr>
          <w:rFonts w:ascii="Tahoma" w:hAnsi="Tahoma" w:cs="Tahoma"/>
        </w:rPr>
      </w:pPr>
    </w:p>
    <w:p w:rsidR="00D43251" w:rsidRPr="00D43251" w:rsidRDefault="00D43251" w:rsidP="00D43251">
      <w:pPr>
        <w:pStyle w:val="Textoindependiente"/>
        <w:widowControl w:val="0"/>
        <w:numPr>
          <w:ilvl w:val="0"/>
          <w:numId w:val="4"/>
        </w:numPr>
        <w:suppressAutoHyphens/>
        <w:spacing w:after="0"/>
        <w:ind w:left="567" w:hanging="567"/>
        <w:jc w:val="both"/>
        <w:rPr>
          <w:rFonts w:ascii="Tahoma" w:hAnsi="Tahoma" w:cs="Tahoma"/>
          <w:sz w:val="20"/>
          <w:szCs w:val="20"/>
        </w:rPr>
      </w:pPr>
      <w:r w:rsidRPr="00D43251">
        <w:rPr>
          <w:rFonts w:ascii="Tahoma" w:hAnsi="Tahoma" w:cs="Tahoma"/>
          <w:sz w:val="20"/>
          <w:szCs w:val="20"/>
        </w:rPr>
        <w:t>En consecuencia, corresponde a este colegiado determinar si la resolución del contrato se originó por causa imputable al Contratista o no.</w:t>
      </w:r>
    </w:p>
    <w:p w:rsidR="00D43251" w:rsidRPr="00D43251" w:rsidRDefault="00D43251" w:rsidP="00D43251">
      <w:pPr>
        <w:pStyle w:val="Prrafodelista"/>
        <w:rPr>
          <w:rFonts w:ascii="Tahoma" w:hAnsi="Tahoma" w:cs="Tahoma"/>
        </w:rPr>
      </w:pPr>
    </w:p>
    <w:p w:rsidR="00D43251" w:rsidRPr="00D43251" w:rsidRDefault="00D43251" w:rsidP="00D43251">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D43251">
        <w:rPr>
          <w:rFonts w:ascii="Tahoma" w:hAnsi="Tahoma" w:cs="Tahoma"/>
          <w:sz w:val="20"/>
          <w:szCs w:val="20"/>
        </w:rPr>
        <w:t>Así, pues, conforme a lo establecido en el artículo 50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201 del Reglamento prevé que el contrato es obligatorio para las partes que lo suscriben.</w:t>
      </w:r>
    </w:p>
    <w:p w:rsidR="00D43251" w:rsidRPr="00D43251" w:rsidRDefault="00D43251" w:rsidP="00D43251">
      <w:pPr>
        <w:pStyle w:val="Textoindependiente"/>
        <w:widowControl w:val="0"/>
        <w:suppressAutoHyphens/>
        <w:ind w:left="567"/>
        <w:rPr>
          <w:rFonts w:ascii="Tahoma" w:hAnsi="Tahoma" w:cs="Tahoma"/>
          <w:sz w:val="20"/>
          <w:szCs w:val="20"/>
        </w:rPr>
      </w:pPr>
    </w:p>
    <w:p w:rsidR="00D43251" w:rsidRPr="00D43251" w:rsidRDefault="00D43251" w:rsidP="00D43251">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D43251">
        <w:rPr>
          <w:rFonts w:ascii="Tahoma" w:hAnsi="Tahoma" w:cs="Tahoma"/>
          <w:sz w:val="20"/>
          <w:szCs w:val="20"/>
        </w:rPr>
        <w:t xml:space="preserve">En el presente caso, se desprende de los actuados que el Contratista, pese a haber tomado conocimiento de las observaciones planteadas por la Entidad, referidas al incumplimiento de sus obligaciones contractuales, no habría cumplido con internar los bienes descritos en las </w:t>
      </w:r>
      <w:r w:rsidRPr="00D43251">
        <w:rPr>
          <w:rFonts w:ascii="Tahoma" w:hAnsi="Tahoma" w:cs="Tahoma"/>
          <w:sz w:val="20"/>
          <w:szCs w:val="20"/>
          <w:lang w:val="es-ES_tradnl"/>
        </w:rPr>
        <w:t>Orden de Compra № 2548 -respecto de los ítems №s 1, 10 y 14-</w:t>
      </w:r>
      <w:r w:rsidRPr="00D43251">
        <w:rPr>
          <w:rFonts w:ascii="Tahoma" w:hAnsi="Tahoma" w:cs="Tahoma"/>
          <w:sz w:val="20"/>
          <w:szCs w:val="20"/>
        </w:rPr>
        <w:t>, hecho que ha desencadenado la resolución de las mismas por causal atribuible al Contratista.</w:t>
      </w:r>
    </w:p>
    <w:p w:rsidR="00D43251" w:rsidRPr="00D43251" w:rsidRDefault="00D43251" w:rsidP="00D43251">
      <w:pPr>
        <w:pStyle w:val="Prrafodelista"/>
        <w:rPr>
          <w:rFonts w:ascii="Tahoma" w:hAnsi="Tahoma" w:cs="Tahoma"/>
        </w:rPr>
      </w:pPr>
    </w:p>
    <w:p w:rsidR="00D43251" w:rsidRPr="00D43251" w:rsidRDefault="00D43251" w:rsidP="00D43251">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D43251">
        <w:rPr>
          <w:rFonts w:ascii="Tahoma" w:hAnsi="Tahoma" w:cs="Tahoma"/>
          <w:sz w:val="20"/>
          <w:szCs w:val="20"/>
        </w:rPr>
        <w:t>Sobre el particular, en principio es pertinente tener en consideración que el plazo para la entrega de los bienes fue establecido en el literal d) del Capitulo V de las Bases Administrativas del proceso de selección, siendo que la Contratista ofertó que el plazo de entrega de los bienes adjudicados sería de diez (10) días calendario</w:t>
      </w:r>
      <w:r w:rsidRPr="00D43251">
        <w:rPr>
          <w:rFonts w:ascii="Tahoma" w:hAnsi="Tahoma" w:cs="Tahoma"/>
          <w:sz w:val="20"/>
          <w:szCs w:val="20"/>
          <w:lang w:val="es-ES_tradnl"/>
        </w:rPr>
        <w:t xml:space="preserve">. </w:t>
      </w:r>
    </w:p>
    <w:p w:rsidR="00D43251" w:rsidRPr="00D43251" w:rsidRDefault="00D43251" w:rsidP="00D43251">
      <w:pPr>
        <w:pStyle w:val="Sangradetextonormal"/>
        <w:tabs>
          <w:tab w:val="left" w:pos="540"/>
        </w:tabs>
        <w:spacing w:after="0"/>
        <w:jc w:val="both"/>
        <w:rPr>
          <w:rFonts w:ascii="Tahoma" w:hAnsi="Tahoma" w:cs="Tahoma"/>
          <w:sz w:val="20"/>
          <w:szCs w:val="20"/>
        </w:rPr>
      </w:pPr>
    </w:p>
    <w:p w:rsidR="00D43251" w:rsidRPr="00D43251" w:rsidRDefault="00D43251" w:rsidP="00D43251">
      <w:pPr>
        <w:pStyle w:val="Sangradetextonormal"/>
        <w:tabs>
          <w:tab w:val="left" w:pos="540"/>
        </w:tabs>
        <w:spacing w:after="0"/>
        <w:ind w:left="540"/>
        <w:jc w:val="both"/>
        <w:rPr>
          <w:rFonts w:ascii="Tahoma" w:hAnsi="Tahoma" w:cs="Tahoma"/>
          <w:sz w:val="20"/>
          <w:szCs w:val="20"/>
          <w:lang w:val="es-MX"/>
        </w:rPr>
      </w:pPr>
      <w:r w:rsidRPr="00D43251">
        <w:rPr>
          <w:rFonts w:ascii="Tahoma" w:hAnsi="Tahoma" w:cs="Tahoma"/>
          <w:sz w:val="20"/>
          <w:szCs w:val="20"/>
          <w:lang w:val="es-MX"/>
        </w:rPr>
        <w:t xml:space="preserve">De esta manera, en la referida Orden de Compra № 2548, </w:t>
      </w:r>
      <w:r w:rsidRPr="00D43251">
        <w:rPr>
          <w:rFonts w:ascii="Tahoma" w:hAnsi="Tahoma" w:cs="Tahoma"/>
          <w:sz w:val="20"/>
          <w:szCs w:val="20"/>
        </w:rPr>
        <w:t>se estableció como fecha de inicio de ejecución contractual el 17 de noviembre de 2006 y de término el 27 de noviembre del mismo año</w:t>
      </w:r>
      <w:r w:rsidRPr="00D43251">
        <w:rPr>
          <w:rFonts w:ascii="Tahoma" w:hAnsi="Tahoma" w:cs="Tahoma"/>
          <w:sz w:val="20"/>
          <w:szCs w:val="20"/>
          <w:lang w:val="es-MX"/>
        </w:rPr>
        <w:t>. Dicho lo cual, es relevante señalar que en esta última fecha el Contratista no había cumplido con ejecutar sus prestaciones a su cargo, situación fáctica que es posible inferir de las comunicaciones cursadas por la Entidad al Contratista, en las cuales ésta le requirió el cumplimiento de sus obligaciones.</w:t>
      </w:r>
    </w:p>
    <w:p w:rsidR="00D43251" w:rsidRPr="00D43251" w:rsidRDefault="00D43251" w:rsidP="00D43251">
      <w:pPr>
        <w:pStyle w:val="Sangradetextonormal"/>
        <w:tabs>
          <w:tab w:val="left" w:pos="540"/>
        </w:tabs>
        <w:spacing w:after="0"/>
        <w:ind w:left="540"/>
        <w:jc w:val="both"/>
        <w:rPr>
          <w:rFonts w:ascii="Tahoma" w:hAnsi="Tahoma" w:cs="Tahoma"/>
          <w:sz w:val="20"/>
          <w:szCs w:val="20"/>
          <w:lang w:val="es-MX"/>
        </w:rPr>
      </w:pPr>
    </w:p>
    <w:p w:rsidR="00D43251" w:rsidRPr="00D43251" w:rsidRDefault="00D43251" w:rsidP="00D43251">
      <w:pPr>
        <w:pStyle w:val="Sangradetextonormal"/>
        <w:numPr>
          <w:ilvl w:val="0"/>
          <w:numId w:val="4"/>
        </w:numPr>
        <w:tabs>
          <w:tab w:val="left" w:pos="540"/>
        </w:tabs>
        <w:spacing w:after="0"/>
        <w:ind w:left="567" w:hanging="567"/>
        <w:jc w:val="both"/>
        <w:rPr>
          <w:rFonts w:ascii="Tahoma" w:hAnsi="Tahoma" w:cs="Tahoma"/>
          <w:sz w:val="20"/>
          <w:szCs w:val="20"/>
          <w:lang w:val="es-MX"/>
        </w:rPr>
      </w:pPr>
      <w:r w:rsidRPr="00D43251">
        <w:rPr>
          <w:rFonts w:ascii="Tahoma" w:hAnsi="Tahoma" w:cs="Tahoma"/>
          <w:sz w:val="20"/>
          <w:szCs w:val="20"/>
        </w:rPr>
        <w:t>De lo antes expuesto, resulta lógico que sean los postores los únicos responsables de los términos consignados en su oferta presentado en el proceso de selección, por lo que su sola presentación los vincula jurídicamente, de modo que el eventual otorgamiento de la Buena Pro a favor del ganador y la consecuente suscripción contractual, obliga a esta último a cumplir con lo ofertado dentro del plazo señalado, para lo cual aquélla de manera diligente debe prever que dicha prestación se realice en las condiciones pactadas.</w:t>
      </w:r>
    </w:p>
    <w:p w:rsidR="00D43251" w:rsidRPr="00D43251" w:rsidRDefault="00D43251" w:rsidP="00D43251">
      <w:pPr>
        <w:pStyle w:val="Sangradetextonormal"/>
        <w:tabs>
          <w:tab w:val="num" w:pos="540"/>
          <w:tab w:val="left" w:pos="900"/>
        </w:tabs>
        <w:spacing w:after="0"/>
        <w:ind w:left="540"/>
        <w:jc w:val="both"/>
        <w:rPr>
          <w:rFonts w:ascii="Tahoma" w:hAnsi="Tahoma" w:cs="Tahoma"/>
          <w:sz w:val="20"/>
          <w:szCs w:val="20"/>
        </w:rPr>
      </w:pPr>
    </w:p>
    <w:p w:rsidR="00D43251" w:rsidRPr="00D43251" w:rsidRDefault="00D43251" w:rsidP="00D43251">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D43251">
        <w:rPr>
          <w:rFonts w:ascii="Tahoma" w:hAnsi="Tahoma" w:cs="Tahoma"/>
          <w:sz w:val="20"/>
          <w:szCs w:val="20"/>
          <w:lang w:val="es-MX"/>
        </w:rPr>
        <w:lastRenderedPageBreak/>
        <w:t xml:space="preserve">Según se observa, queda claro que la obligación del Contratista debería ser en óptimas condiciones y conforme al plazo estipulado, según se  desprende de los actuados en el expediente administrativo. Pese a ello, ha quedado acreditado en el presente caso que, a pesar de que la Entidad le brindo un plazo adicional al Contratista para el cumplimiento de sus obligaciones contractuales, éste no había cumplido con hacer efectivo la entrega total de los bienes ofertados. </w:t>
      </w:r>
    </w:p>
    <w:p w:rsidR="00D43251" w:rsidRPr="00D43251" w:rsidRDefault="00D43251" w:rsidP="00D43251">
      <w:pPr>
        <w:pStyle w:val="Prrafodelista"/>
        <w:rPr>
          <w:rFonts w:ascii="Tahoma" w:hAnsi="Tahoma" w:cs="Tahoma"/>
        </w:rPr>
      </w:pPr>
    </w:p>
    <w:p w:rsidR="00D43251" w:rsidRPr="00D43251" w:rsidRDefault="00D43251" w:rsidP="00D43251">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D43251">
        <w:rPr>
          <w:rFonts w:ascii="Tahoma" w:hAnsi="Tahoma" w:cs="Tahoma"/>
          <w:sz w:val="20"/>
          <w:szCs w:val="20"/>
        </w:rPr>
        <w:t>Sobre la base de lo expuesto, en virtud al derecho de defensa que ampara al administrado, el Postor no ha negado que su conducta esté inmersa en infracción, toda vez que no ha presentado sus descargos a pesar de haber sido debidamente notificado mediante Cedula de Notificación № 4966/2011.TC., conforme obra en autos.</w:t>
      </w:r>
    </w:p>
    <w:p w:rsidR="00D43251" w:rsidRPr="00D43251" w:rsidRDefault="00D43251" w:rsidP="00D43251">
      <w:pPr>
        <w:pStyle w:val="Textoindependiente"/>
        <w:widowControl w:val="0"/>
        <w:suppressAutoHyphens/>
        <w:ind w:left="567"/>
        <w:rPr>
          <w:rFonts w:ascii="Tahoma" w:hAnsi="Tahoma" w:cs="Tahoma"/>
          <w:sz w:val="20"/>
          <w:szCs w:val="20"/>
        </w:rPr>
      </w:pPr>
    </w:p>
    <w:p w:rsidR="00D43251" w:rsidRPr="00D43251" w:rsidRDefault="00D43251" w:rsidP="00D43251">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D43251">
        <w:rPr>
          <w:rFonts w:ascii="Tahoma" w:hAnsi="Tahoma" w:cs="Tahoma"/>
          <w:sz w:val="20"/>
          <w:szCs w:val="20"/>
        </w:rPr>
        <w:t>Ahora bien, y en la medida en que el Contratista no ha presentado argumentos y/o documentación adicional que permitan justificar su incumplimiento y que adicionalmente no ha cuestionado la resolución del contrato en la vía correspondiente, se colige entonces que el Contratista ha incurrido en la causal de aplicación de sanción consistente en haber dado lugar a la resolución parcial de la Orden de Compra № 2548 -respecto de los ítems №s 1, 10 y 14-</w:t>
      </w:r>
      <w:r w:rsidRPr="00D43251">
        <w:rPr>
          <w:rFonts w:ascii="Tahoma" w:hAnsi="Tahoma" w:cs="Tahoma"/>
          <w:sz w:val="20"/>
          <w:szCs w:val="20"/>
          <w:lang w:val="es-ES_tradnl"/>
        </w:rPr>
        <w:t xml:space="preserve"> </w:t>
      </w:r>
      <w:r w:rsidRPr="00D43251">
        <w:rPr>
          <w:rFonts w:ascii="Tahoma" w:hAnsi="Tahoma" w:cs="Tahoma"/>
          <w:sz w:val="20"/>
          <w:szCs w:val="20"/>
        </w:rPr>
        <w:t>por causal atribuible a su parte.</w:t>
      </w:r>
    </w:p>
    <w:p w:rsidR="00D43251" w:rsidRPr="00D43251" w:rsidRDefault="00D43251" w:rsidP="00D43251">
      <w:pPr>
        <w:pStyle w:val="Textoindependiente"/>
        <w:widowControl w:val="0"/>
        <w:suppressAutoHyphens/>
        <w:ind w:left="567"/>
        <w:rPr>
          <w:rFonts w:ascii="Tahoma" w:hAnsi="Tahoma" w:cs="Tahoma"/>
          <w:sz w:val="20"/>
          <w:szCs w:val="20"/>
        </w:rPr>
      </w:pPr>
    </w:p>
    <w:p w:rsidR="00D43251" w:rsidRPr="00D43251" w:rsidRDefault="00D43251" w:rsidP="00D43251">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D43251">
        <w:rPr>
          <w:rFonts w:ascii="Tahoma" w:hAnsi="Tahoma" w:cs="Tahoma"/>
          <w:sz w:val="20"/>
          <w:szCs w:val="20"/>
        </w:rPr>
        <w:t>Por lo tanto, en virtud a que el Contratista no ha acreditado que el incumplimiento de sus obligaciones contractuales, haya sido producto de caso fortuito o fuerza mayor, ni existen indicios que dicho incumplimiento se haya producido por causas imprevisibles ajenas a su voluntad o por causa atribuible a la Entidad, este Colegiado concluye que la resolución parcial de Orden de Compra № 2548 resulta atribuible al Contratista.</w:t>
      </w:r>
    </w:p>
    <w:p w:rsidR="00D43251" w:rsidRPr="00D43251" w:rsidRDefault="00D43251" w:rsidP="00D43251">
      <w:pPr>
        <w:pStyle w:val="Prrafodelista"/>
        <w:rPr>
          <w:rFonts w:ascii="Tahoma" w:hAnsi="Tahoma" w:cs="Tahoma"/>
          <w:lang w:val="es-PE"/>
        </w:rPr>
      </w:pPr>
    </w:p>
    <w:p w:rsidR="00D43251" w:rsidRPr="00D43251" w:rsidRDefault="00D43251" w:rsidP="00D43251">
      <w:pPr>
        <w:pStyle w:val="Textoindependiente"/>
        <w:widowControl w:val="0"/>
        <w:suppressAutoHyphens/>
        <w:ind w:left="567"/>
        <w:jc w:val="both"/>
        <w:rPr>
          <w:rFonts w:ascii="Tahoma" w:hAnsi="Tahoma" w:cs="Tahoma"/>
          <w:sz w:val="20"/>
          <w:szCs w:val="20"/>
        </w:rPr>
      </w:pPr>
      <w:r w:rsidRPr="00D43251">
        <w:rPr>
          <w:rFonts w:ascii="Tahoma" w:hAnsi="Tahoma" w:cs="Tahoma"/>
          <w:sz w:val="20"/>
          <w:szCs w:val="20"/>
        </w:rPr>
        <w:t xml:space="preserve">Precisamente, en relación al caso fortuito o fuerza mayor, debe  señalarse que el Código Civil en su artículo 1315 establece que </w:t>
      </w:r>
      <w:r w:rsidRPr="00D43251">
        <w:rPr>
          <w:rFonts w:ascii="Tahoma" w:hAnsi="Tahoma" w:cs="Tahoma"/>
          <w:i/>
          <w:sz w:val="20"/>
          <w:szCs w:val="20"/>
        </w:rPr>
        <w:t xml:space="preserve">"(...) es la causa no imputable, consistente en un evento extraordinario, imprevisible e irresistible, que impide la ejecución de la obligación o determina su cumplimiento parcial, tardío o defectuoso". </w:t>
      </w:r>
      <w:r w:rsidRPr="00D43251">
        <w:rPr>
          <w:rFonts w:ascii="Tahoma" w:hAnsi="Tahoma" w:cs="Tahoma"/>
          <w:sz w:val="20"/>
          <w:szCs w:val="20"/>
        </w:rPr>
        <w:t>Es decir, que la norma contempla con tres características esenciales para la configuración del caso fortuito o fuerza mayor: la extraordinariedad, imprevisibilidad e irresistibilidad de un evento no imputable al deudor. Sobre dichos elementos, la doctrina efectuado las siguientes precisiones:</w:t>
      </w:r>
    </w:p>
    <w:p w:rsidR="00D43251" w:rsidRPr="00D43251" w:rsidRDefault="00D43251" w:rsidP="00D43251">
      <w:pPr>
        <w:pStyle w:val="Sinespaciado"/>
        <w:ind w:left="567"/>
        <w:jc w:val="both"/>
        <w:rPr>
          <w:rFonts w:ascii="Tahoma" w:hAnsi="Tahoma" w:cs="Tahoma"/>
          <w:sz w:val="20"/>
          <w:szCs w:val="20"/>
          <w:lang w:val="es-PE"/>
        </w:rPr>
      </w:pPr>
    </w:p>
    <w:p w:rsidR="00D43251" w:rsidRPr="00D43251" w:rsidRDefault="00D43251" w:rsidP="00D43251">
      <w:pPr>
        <w:pStyle w:val="Sinespaciado"/>
        <w:ind w:left="567"/>
        <w:jc w:val="both"/>
        <w:rPr>
          <w:rFonts w:ascii="Tahoma" w:hAnsi="Tahoma" w:cs="Tahoma"/>
          <w:i/>
          <w:sz w:val="20"/>
          <w:szCs w:val="20"/>
          <w:lang w:val="es-PE"/>
        </w:rPr>
      </w:pPr>
      <w:r w:rsidRPr="00D43251">
        <w:rPr>
          <w:rFonts w:ascii="Tahoma" w:hAnsi="Tahoma" w:cs="Tahoma"/>
          <w:sz w:val="20"/>
          <w:szCs w:val="20"/>
          <w:lang w:val="es-PE"/>
        </w:rPr>
        <w:t>"</w:t>
      </w:r>
      <w:r w:rsidRPr="00D43251">
        <w:rPr>
          <w:rFonts w:ascii="Tahoma" w:hAnsi="Tahoma" w:cs="Tahoma"/>
          <w:i/>
          <w:sz w:val="20"/>
          <w:szCs w:val="20"/>
          <w:lang w:val="es-PE"/>
        </w:rPr>
        <w:t>Acontecimiento extraordinario es todo aquél que sale de lo común, que no es usual.</w:t>
      </w:r>
    </w:p>
    <w:p w:rsidR="00D43251" w:rsidRPr="00D43251" w:rsidRDefault="00D43251" w:rsidP="00D43251">
      <w:pPr>
        <w:pStyle w:val="Sinespaciado"/>
        <w:ind w:left="567"/>
        <w:jc w:val="both"/>
        <w:rPr>
          <w:rFonts w:ascii="Tahoma" w:hAnsi="Tahoma" w:cs="Tahoma"/>
          <w:i/>
          <w:sz w:val="20"/>
          <w:szCs w:val="20"/>
          <w:lang w:val="es-PE"/>
        </w:rPr>
      </w:pPr>
      <w:r w:rsidRPr="00D43251">
        <w:rPr>
          <w:rFonts w:ascii="Tahoma" w:hAnsi="Tahoma" w:cs="Tahoma"/>
          <w:i/>
          <w:sz w:val="20"/>
          <w:szCs w:val="20"/>
          <w:lang w:val="es-PE"/>
        </w:rPr>
        <w:t>(...)</w:t>
      </w:r>
    </w:p>
    <w:p w:rsidR="00D43251" w:rsidRPr="00D43251" w:rsidRDefault="00D43251" w:rsidP="00D43251">
      <w:pPr>
        <w:pStyle w:val="Sinespaciado"/>
        <w:ind w:left="567"/>
        <w:jc w:val="both"/>
        <w:rPr>
          <w:rFonts w:ascii="Tahoma" w:hAnsi="Tahoma" w:cs="Tahoma"/>
          <w:i/>
          <w:sz w:val="20"/>
          <w:szCs w:val="20"/>
          <w:lang w:val="es-PE"/>
        </w:rPr>
      </w:pPr>
    </w:p>
    <w:p w:rsidR="00D43251" w:rsidRPr="00D43251" w:rsidRDefault="00D43251" w:rsidP="00D43251">
      <w:pPr>
        <w:pStyle w:val="Sinespaciado"/>
        <w:ind w:left="567"/>
        <w:jc w:val="both"/>
        <w:rPr>
          <w:rFonts w:ascii="Tahoma" w:hAnsi="Tahoma" w:cs="Tahoma"/>
          <w:i/>
          <w:sz w:val="20"/>
          <w:szCs w:val="20"/>
          <w:lang w:val="es-PE"/>
        </w:rPr>
      </w:pPr>
      <w:r w:rsidRPr="00D43251">
        <w:rPr>
          <w:rFonts w:ascii="Tahoma" w:hAnsi="Tahoma" w:cs="Tahoma"/>
          <w:i/>
          <w:sz w:val="20"/>
          <w:szCs w:val="20"/>
          <w:lang w:val="es-PE"/>
        </w:rPr>
        <w:t>El requisito de la previsión se exige cuando el deudor no previó lo que debía, o cuando habiendo previsto el acontecimiento, se obliga a algo que presumiblemente iba a ser imposible. En ambos casos el acontecimiento es imputable al deudor, pues equivale a un hecho suyo.</w:t>
      </w:r>
    </w:p>
    <w:p w:rsidR="00D43251" w:rsidRPr="00D43251" w:rsidRDefault="00D43251" w:rsidP="00D43251">
      <w:pPr>
        <w:pStyle w:val="Sinespaciado"/>
        <w:ind w:left="567"/>
        <w:jc w:val="both"/>
        <w:rPr>
          <w:rFonts w:ascii="Tahoma" w:hAnsi="Tahoma" w:cs="Tahoma"/>
          <w:i/>
          <w:sz w:val="20"/>
          <w:szCs w:val="20"/>
          <w:lang w:val="es-PE"/>
        </w:rPr>
      </w:pPr>
    </w:p>
    <w:p w:rsidR="00D43251" w:rsidRPr="00D43251" w:rsidRDefault="00D43251" w:rsidP="00D43251">
      <w:pPr>
        <w:pStyle w:val="Sinespaciado"/>
        <w:ind w:left="567"/>
        <w:jc w:val="both"/>
        <w:rPr>
          <w:rFonts w:ascii="Tahoma" w:hAnsi="Tahoma" w:cs="Tahoma"/>
          <w:i/>
          <w:sz w:val="20"/>
          <w:szCs w:val="20"/>
          <w:lang w:val="es-PE"/>
        </w:rPr>
      </w:pPr>
      <w:r w:rsidRPr="00D43251">
        <w:rPr>
          <w:rFonts w:ascii="Tahoma" w:hAnsi="Tahoma" w:cs="Tahoma"/>
          <w:i/>
          <w:sz w:val="20"/>
          <w:szCs w:val="20"/>
          <w:lang w:val="es-PE"/>
        </w:rPr>
        <w:t>(...) La noción de imprevisibilidad se aprecia, pues, tomando en consideración todas las circunstancias de la obligación. La rareza, el carácter normal del evento, las remotas posibilidades de realización, configuran el caso fortuito o de fuerza mayor.</w:t>
      </w:r>
    </w:p>
    <w:p w:rsidR="00D43251" w:rsidRPr="00D43251" w:rsidRDefault="00D43251" w:rsidP="00D43251">
      <w:pPr>
        <w:pStyle w:val="Sinespaciado"/>
        <w:ind w:left="567"/>
        <w:jc w:val="both"/>
        <w:rPr>
          <w:rFonts w:ascii="Tahoma" w:hAnsi="Tahoma" w:cs="Tahoma"/>
          <w:i/>
          <w:sz w:val="20"/>
          <w:szCs w:val="20"/>
          <w:lang w:val="es-PE"/>
        </w:rPr>
      </w:pPr>
    </w:p>
    <w:p w:rsidR="00D43251" w:rsidRPr="00D43251" w:rsidRDefault="00D43251" w:rsidP="00D43251">
      <w:pPr>
        <w:pStyle w:val="Sinespaciado"/>
        <w:ind w:left="567"/>
        <w:jc w:val="both"/>
        <w:rPr>
          <w:rFonts w:ascii="Tahoma" w:hAnsi="Tahoma" w:cs="Tahoma"/>
          <w:sz w:val="20"/>
          <w:szCs w:val="20"/>
          <w:lang w:val="es-PE"/>
        </w:rPr>
      </w:pPr>
      <w:r w:rsidRPr="00D43251">
        <w:rPr>
          <w:rFonts w:ascii="Tahoma" w:hAnsi="Tahoma" w:cs="Tahoma"/>
          <w:i/>
          <w:sz w:val="20"/>
          <w:szCs w:val="20"/>
          <w:lang w:val="es-PE"/>
        </w:rPr>
        <w:lastRenderedPageBreak/>
        <w:t>El requisito de la irresistibilidad, por último, supone la imposibilidad de cumplimiento. La dificultad de cumplimiento no exonera al deudor, aun cuando la prestación se haya convertido en más onerosa de lo previsto. Tampoco interesa la situación personal del deudor; la ausencia de medios económicos para cumplir la obligación no tiene fuerza liberatoria</w:t>
      </w:r>
      <w:r w:rsidRPr="00D43251">
        <w:rPr>
          <w:rFonts w:ascii="Tahoma" w:hAnsi="Tahoma" w:cs="Tahoma"/>
          <w:sz w:val="20"/>
          <w:szCs w:val="20"/>
          <w:lang w:val="es-PE"/>
        </w:rPr>
        <w:t>" (Osterling Parodi, Felipe. Las Obligaciones. Lima: Fondo Editorial PUCP, 1988, pp. 199-200).</w:t>
      </w:r>
    </w:p>
    <w:p w:rsidR="00D43251" w:rsidRPr="00D43251" w:rsidRDefault="00D43251" w:rsidP="00D43251">
      <w:pPr>
        <w:pStyle w:val="Prrafodelista"/>
        <w:rPr>
          <w:rFonts w:ascii="Tahoma" w:hAnsi="Tahoma" w:cs="Tahoma"/>
        </w:rPr>
      </w:pPr>
    </w:p>
    <w:p w:rsidR="00D43251" w:rsidRPr="00D43251" w:rsidRDefault="00D43251" w:rsidP="00D43251">
      <w:pPr>
        <w:pStyle w:val="Prrafodelista"/>
        <w:widowControl w:val="0"/>
        <w:numPr>
          <w:ilvl w:val="0"/>
          <w:numId w:val="4"/>
        </w:numPr>
        <w:tabs>
          <w:tab w:val="num" w:pos="567"/>
        </w:tabs>
        <w:suppressAutoHyphens/>
        <w:ind w:left="567" w:hanging="567"/>
        <w:jc w:val="both"/>
        <w:rPr>
          <w:rFonts w:ascii="Tahoma" w:hAnsi="Tahoma" w:cs="Tahoma"/>
        </w:rPr>
      </w:pPr>
      <w:r w:rsidRPr="00D43251">
        <w:rPr>
          <w:rFonts w:ascii="Tahoma" w:hAnsi="Tahoma" w:cs="Tahoma"/>
        </w:rPr>
        <w:t>A ello debemos agregar que, en los casos de incumplimiento de obligaciones, existe la presunción legal establecida en el artículo 1329 del mismo Código Civil, según el cual aquél es producto de la falta de diligencia del deudor</w:t>
      </w:r>
      <w:r w:rsidRPr="00D43251">
        <w:rPr>
          <w:rStyle w:val="Refdenotaalpie"/>
          <w:rFonts w:ascii="Tahoma" w:hAnsi="Tahoma" w:cs="Tahoma"/>
        </w:rPr>
        <w:footnoteReference w:id="4"/>
      </w:r>
      <w:r w:rsidRPr="00D43251">
        <w:rPr>
          <w:rFonts w:ascii="Tahoma" w:hAnsi="Tahoma" w:cs="Tahoma"/>
        </w:rPr>
        <w:t xml:space="preserve">, lo que implica que es su deber demostrar lo contrario y acreditar que, pese a haber actuado con la diligencia ordinaria exigida por la naturaleza de la prestación, le fue imposible cumplirla. </w:t>
      </w:r>
    </w:p>
    <w:p w:rsidR="00D43251" w:rsidRPr="00D43251" w:rsidRDefault="00D43251" w:rsidP="00D43251">
      <w:pPr>
        <w:pStyle w:val="Prrafodelista"/>
        <w:rPr>
          <w:rFonts w:ascii="Tahoma" w:hAnsi="Tahoma" w:cs="Tahoma"/>
        </w:rPr>
      </w:pPr>
    </w:p>
    <w:p w:rsidR="00D43251" w:rsidRPr="00D43251" w:rsidRDefault="00D43251" w:rsidP="00D43251">
      <w:pPr>
        <w:pStyle w:val="Prrafodelista"/>
        <w:widowControl w:val="0"/>
        <w:numPr>
          <w:ilvl w:val="0"/>
          <w:numId w:val="4"/>
        </w:numPr>
        <w:tabs>
          <w:tab w:val="num" w:pos="567"/>
        </w:tabs>
        <w:suppressAutoHyphens/>
        <w:ind w:left="567" w:hanging="567"/>
        <w:jc w:val="both"/>
        <w:rPr>
          <w:rFonts w:ascii="Tahoma" w:hAnsi="Tahoma" w:cs="Tahoma"/>
        </w:rPr>
      </w:pPr>
      <w:r w:rsidRPr="00D43251">
        <w:rPr>
          <w:rFonts w:ascii="Tahoma" w:hAnsi="Tahoma" w:cs="Tahoma"/>
        </w:rPr>
        <w:t>Por las consideraciones expuestas, se desprende que la resolución parcial de la Orden de Compra № 2548 estuvo motivada por causal atribuible a la Contratista, al no haber cumplido entregar los bienes adjudicados, por lo que el hecho imputado califica como infracción administrativa según la causal de imposición de sanción tipificada en el numeral 2) del artículo 294 del Reglamento, debiendo concluirse la existencia de responsabilidad de la persona denunciada en su comisión, el cual establece una sanción administrativa de inhabilitación al infractor, en su derecho para contratar con el Estado y participar en procesos de selección, por un período no menor de uno (1) ni mayor a dos (2) años.</w:t>
      </w:r>
    </w:p>
    <w:p w:rsidR="00D43251" w:rsidRPr="00D43251" w:rsidRDefault="00D43251" w:rsidP="00D43251">
      <w:pPr>
        <w:pStyle w:val="Prrafodelista"/>
        <w:rPr>
          <w:rFonts w:ascii="Tahoma" w:hAnsi="Tahoma" w:cs="Tahoma"/>
        </w:rPr>
      </w:pPr>
    </w:p>
    <w:p w:rsidR="00D43251" w:rsidRPr="00D43251" w:rsidRDefault="00D43251" w:rsidP="00D43251">
      <w:pPr>
        <w:pStyle w:val="Prrafodelista"/>
        <w:widowControl w:val="0"/>
        <w:numPr>
          <w:ilvl w:val="0"/>
          <w:numId w:val="4"/>
        </w:numPr>
        <w:tabs>
          <w:tab w:val="num" w:pos="567"/>
        </w:tabs>
        <w:suppressAutoHyphens/>
        <w:ind w:left="567" w:hanging="567"/>
        <w:jc w:val="both"/>
        <w:rPr>
          <w:rFonts w:ascii="Tahoma" w:hAnsi="Tahoma" w:cs="Tahoma"/>
        </w:rPr>
      </w:pPr>
      <w:r w:rsidRPr="00D43251">
        <w:rPr>
          <w:rFonts w:ascii="Tahoma" w:hAnsi="Tahoma" w:cs="Tahoma"/>
        </w:rPr>
        <w:t>A efecto de graduar la sanción administrativa a imponerse, debe considerarse los criterios establecidos en el artículo 302 del Reglamento</w:t>
      </w:r>
      <w:r w:rsidRPr="00D43251">
        <w:rPr>
          <w:rStyle w:val="Refdenotaalpie"/>
          <w:rFonts w:ascii="Tahoma" w:hAnsi="Tahoma" w:cs="Tahoma"/>
        </w:rPr>
        <w:footnoteReference w:id="5"/>
      </w:r>
      <w:r w:rsidRPr="00D43251">
        <w:rPr>
          <w:rFonts w:ascii="Tahoma" w:hAnsi="Tahoma" w:cs="Tahoma"/>
        </w:rPr>
        <w:t>.</w:t>
      </w:r>
    </w:p>
    <w:p w:rsidR="00D43251" w:rsidRPr="00D43251" w:rsidRDefault="00D43251" w:rsidP="00D43251">
      <w:pPr>
        <w:pStyle w:val="Prrafodelista"/>
        <w:rPr>
          <w:rFonts w:ascii="Tahoma" w:hAnsi="Tahoma" w:cs="Tahoma"/>
        </w:rPr>
      </w:pPr>
    </w:p>
    <w:p w:rsidR="00D43251" w:rsidRPr="00D43251" w:rsidRDefault="00D43251" w:rsidP="00D43251">
      <w:pPr>
        <w:pStyle w:val="Prrafodelista"/>
        <w:widowControl w:val="0"/>
        <w:numPr>
          <w:ilvl w:val="0"/>
          <w:numId w:val="4"/>
        </w:numPr>
        <w:tabs>
          <w:tab w:val="num" w:pos="567"/>
        </w:tabs>
        <w:suppressAutoHyphens/>
        <w:ind w:left="567" w:hanging="567"/>
        <w:jc w:val="both"/>
        <w:rPr>
          <w:rFonts w:ascii="Tahoma" w:hAnsi="Tahoma" w:cs="Tahoma"/>
        </w:rPr>
      </w:pPr>
      <w:r w:rsidRPr="00D43251">
        <w:rPr>
          <w:rFonts w:ascii="Tahoma" w:hAnsi="Tahoma" w:cs="Tahoma"/>
        </w:rPr>
        <w:t>En ese sentido, en relación con la naturaleza de la infracción cometida, es importante señalar que la conducta efectuada por el Contratista reviste de una considerable gravedad en la medida que desde el momento en que se asumió un compromiso contractual frente a la Entidad, se encontraba llamada a cumplir cabalmente con lo ofrecido, máxime si es conocido que ante un eventual incumplimiento se verían seriamente afectados intereses de carácter público así como ha retrasado el cumplimiento de las metas institucionales de la Entidad.</w:t>
      </w:r>
    </w:p>
    <w:p w:rsidR="00D43251" w:rsidRPr="00D43251" w:rsidRDefault="00D43251" w:rsidP="00D43251">
      <w:pPr>
        <w:pStyle w:val="Prrafodelista"/>
        <w:rPr>
          <w:rFonts w:ascii="Tahoma" w:hAnsi="Tahoma" w:cs="Tahoma"/>
        </w:rPr>
      </w:pPr>
    </w:p>
    <w:p w:rsidR="00D43251" w:rsidRPr="00D43251" w:rsidRDefault="00D43251" w:rsidP="00D43251">
      <w:pPr>
        <w:pStyle w:val="Prrafodelista"/>
        <w:widowControl w:val="0"/>
        <w:numPr>
          <w:ilvl w:val="0"/>
          <w:numId w:val="4"/>
        </w:numPr>
        <w:tabs>
          <w:tab w:val="num" w:pos="567"/>
        </w:tabs>
        <w:suppressAutoHyphens/>
        <w:ind w:left="567" w:hanging="567"/>
        <w:jc w:val="both"/>
        <w:rPr>
          <w:rFonts w:ascii="Tahoma" w:hAnsi="Tahoma" w:cs="Tahoma"/>
        </w:rPr>
      </w:pPr>
      <w:r w:rsidRPr="00D43251">
        <w:rPr>
          <w:rFonts w:ascii="Tahoma" w:hAnsi="Tahoma" w:cs="Tahoma"/>
        </w:rPr>
        <w:t xml:space="preserve">En igual sentido, en cuanto al criterio de intencionalidad del infractor, este Colegiado considera que en tanto, la conducta llevada a cabo por parte del Contratista consistente en la resolución del contrato, no permite a este Colegiado determinar la existencia de </w:t>
      </w:r>
      <w:r w:rsidRPr="00D43251">
        <w:rPr>
          <w:rFonts w:ascii="Tahoma" w:hAnsi="Tahoma" w:cs="Tahoma"/>
        </w:rPr>
        <w:lastRenderedPageBreak/>
        <w:t>intencionalidad de su parte en la medida que no se ha evidenciado la consecución de un fin ulterior; no obstante lo cual, si resulta clara una falta de diligencia por parte de dicho Contratista, toda vez que ésta debió cumplir con sus obligaciones pactadas la citada orden de compra.</w:t>
      </w:r>
    </w:p>
    <w:p w:rsidR="00D43251" w:rsidRPr="00D43251" w:rsidRDefault="00D43251" w:rsidP="00D43251">
      <w:pPr>
        <w:pStyle w:val="Prrafodelista"/>
        <w:rPr>
          <w:rFonts w:ascii="Tahoma" w:hAnsi="Tahoma" w:cs="Tahoma"/>
        </w:rPr>
      </w:pPr>
    </w:p>
    <w:p w:rsidR="00D43251" w:rsidRPr="00D43251" w:rsidRDefault="00D43251" w:rsidP="00D43251">
      <w:pPr>
        <w:pStyle w:val="Prrafodelista"/>
        <w:widowControl w:val="0"/>
        <w:numPr>
          <w:ilvl w:val="0"/>
          <w:numId w:val="4"/>
        </w:numPr>
        <w:tabs>
          <w:tab w:val="num" w:pos="567"/>
        </w:tabs>
        <w:suppressAutoHyphens/>
        <w:ind w:left="567" w:hanging="567"/>
        <w:jc w:val="both"/>
        <w:rPr>
          <w:rFonts w:ascii="Tahoma" w:hAnsi="Tahoma" w:cs="Tahoma"/>
        </w:rPr>
      </w:pPr>
      <w:r w:rsidRPr="00D43251">
        <w:rPr>
          <w:rFonts w:ascii="Tahoma" w:hAnsi="Tahoma" w:cs="Tahoma"/>
        </w:rPr>
        <w:t xml:space="preserve">De esta manera, en lo que atañe al daño causado, es relevante tomar en cuenta, por un lado, la cuantía que subyace las órdenes de compra, por el monto de S/. 43 136.05 nuevos soles y, por el otro, que su incumplimiento por parte del Contratista generó un daño a la Entidad, causando el retraso en el cumplimiento de sus objetivos, el cual había sido programado y presupuestado con anticipación. </w:t>
      </w:r>
    </w:p>
    <w:p w:rsidR="00D43251" w:rsidRPr="00D43251" w:rsidRDefault="00D43251" w:rsidP="00D43251">
      <w:pPr>
        <w:pStyle w:val="Prrafodelista"/>
        <w:rPr>
          <w:rFonts w:ascii="Tahoma" w:hAnsi="Tahoma" w:cs="Tahoma"/>
        </w:rPr>
      </w:pPr>
    </w:p>
    <w:p w:rsidR="00D43251" w:rsidRPr="00D43251" w:rsidRDefault="00D43251" w:rsidP="00D43251">
      <w:pPr>
        <w:pStyle w:val="Prrafodelista"/>
        <w:widowControl w:val="0"/>
        <w:numPr>
          <w:ilvl w:val="0"/>
          <w:numId w:val="4"/>
        </w:numPr>
        <w:tabs>
          <w:tab w:val="num" w:pos="567"/>
        </w:tabs>
        <w:suppressAutoHyphens/>
        <w:ind w:left="567" w:hanging="567"/>
        <w:jc w:val="both"/>
        <w:rPr>
          <w:rFonts w:ascii="Tahoma" w:hAnsi="Tahoma" w:cs="Tahoma"/>
        </w:rPr>
      </w:pPr>
      <w:r w:rsidRPr="00D43251">
        <w:rPr>
          <w:rFonts w:ascii="Tahoma" w:hAnsi="Tahoma" w:cs="Tahoma"/>
        </w:rPr>
        <w:t>Sin perjuicio de lo anterior, respecto de las condiciones del infractor y de su conducta procesal durante la sustanciación del presente procedimiento administrativo sancionador, abona a favor del infractor la ausencia de antecedentes en la comisión de infracciones, y en contra que durante la sustanciación del presente procedimiento administrativo sancionador el Contratista no ha efectuado la presentación de sus descargos.</w:t>
      </w:r>
    </w:p>
    <w:p w:rsidR="00D43251" w:rsidRPr="00D43251" w:rsidRDefault="00D43251" w:rsidP="00D43251">
      <w:pPr>
        <w:pStyle w:val="Prrafodelista"/>
        <w:rPr>
          <w:rFonts w:ascii="Tahoma" w:hAnsi="Tahoma" w:cs="Tahoma"/>
        </w:rPr>
      </w:pPr>
    </w:p>
    <w:p w:rsidR="00D43251" w:rsidRPr="00D43251" w:rsidRDefault="00D43251" w:rsidP="00D43251">
      <w:pPr>
        <w:pStyle w:val="Prrafodelista"/>
        <w:widowControl w:val="0"/>
        <w:numPr>
          <w:ilvl w:val="0"/>
          <w:numId w:val="4"/>
        </w:numPr>
        <w:tabs>
          <w:tab w:val="num" w:pos="567"/>
        </w:tabs>
        <w:suppressAutoHyphens/>
        <w:ind w:left="567" w:hanging="567"/>
        <w:jc w:val="both"/>
        <w:rPr>
          <w:rFonts w:ascii="Tahoma" w:hAnsi="Tahoma" w:cs="Tahoma"/>
        </w:rPr>
      </w:pPr>
      <w:r w:rsidRPr="00D43251">
        <w:rPr>
          <w:rFonts w:ascii="Tahoma" w:hAnsi="Tahoma" w:cs="Tahoma"/>
        </w:rPr>
        <w:t xml:space="preserve">Finalmente, resulta importante traer a colación el </w:t>
      </w:r>
      <w:r w:rsidRPr="00D43251">
        <w:rPr>
          <w:rFonts w:ascii="Tahoma" w:hAnsi="Tahoma" w:cs="Tahoma"/>
          <w:i/>
        </w:rPr>
        <w:t>principio de razonabilidad</w:t>
      </w:r>
      <w:r w:rsidRPr="00D43251">
        <w:rPr>
          <w:rFonts w:ascii="Tahoma" w:hAnsi="Tahoma" w:cs="Tahoma"/>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D43251" w:rsidRPr="00D43251" w:rsidRDefault="00D43251" w:rsidP="00D43251">
      <w:pPr>
        <w:pStyle w:val="Prrafodelista"/>
        <w:rPr>
          <w:rFonts w:ascii="Tahoma" w:hAnsi="Tahoma" w:cs="Tahoma"/>
          <w:snapToGrid w:val="0"/>
        </w:rPr>
      </w:pPr>
    </w:p>
    <w:p w:rsidR="00D43251" w:rsidRPr="00D43251" w:rsidRDefault="00D43251" w:rsidP="00D43251">
      <w:pPr>
        <w:pStyle w:val="Prrafodelista"/>
        <w:widowControl w:val="0"/>
        <w:numPr>
          <w:ilvl w:val="0"/>
          <w:numId w:val="4"/>
        </w:numPr>
        <w:tabs>
          <w:tab w:val="num" w:pos="567"/>
        </w:tabs>
        <w:suppressAutoHyphens/>
        <w:ind w:left="567" w:hanging="567"/>
        <w:jc w:val="both"/>
        <w:rPr>
          <w:rFonts w:ascii="Tahoma" w:hAnsi="Tahoma" w:cs="Tahoma"/>
        </w:rPr>
      </w:pPr>
      <w:r w:rsidRPr="00D43251">
        <w:rPr>
          <w:rFonts w:ascii="Tahoma" w:hAnsi="Tahoma" w:cs="Tahoma"/>
          <w:snapToGrid w:val="0"/>
        </w:rPr>
        <w:t xml:space="preserve">En consecuencia, en aplicación de lo previsto en el último párrafo del  artículo 302 del Reglamento, y </w:t>
      </w:r>
      <w:r w:rsidRPr="00D43251">
        <w:rPr>
          <w:rFonts w:ascii="Tahoma" w:hAnsi="Tahoma" w:cs="Tahoma"/>
        </w:rPr>
        <w:t>sin que medien circunstancias que permitan atenuar la responsabilidad del Contratista por debajo del mínimo establecido en la comisión de la infracción, corresponde imponerle la sanción administrativa de inhabilitación temporal en sus derechos para participar en procesos de selección y contratar con el Estado por el periodo de doce (12) meses.</w:t>
      </w:r>
    </w:p>
    <w:p w:rsidR="001776B6" w:rsidRPr="00D43251" w:rsidRDefault="001776B6" w:rsidP="001776B6">
      <w:pPr>
        <w:pStyle w:val="Prrafodelista"/>
        <w:jc w:val="both"/>
        <w:rPr>
          <w:rFonts w:ascii="Tahoma" w:hAnsi="Tahoma" w:cs="Tahoma"/>
        </w:rPr>
      </w:pPr>
    </w:p>
    <w:p w:rsidR="00DA127C" w:rsidRPr="00D43251" w:rsidRDefault="00DA127C" w:rsidP="00DA127C">
      <w:pPr>
        <w:ind w:left="567" w:firstLine="567"/>
        <w:jc w:val="both"/>
        <w:rPr>
          <w:rFonts w:ascii="Tahoma" w:hAnsi="Tahoma" w:cs="Tahoma"/>
          <w:sz w:val="20"/>
          <w:szCs w:val="20"/>
        </w:rPr>
      </w:pPr>
      <w:r w:rsidRPr="00D43251">
        <w:rPr>
          <w:rFonts w:ascii="Tahoma" w:hAnsi="Tahoma" w:cs="Tahoma"/>
          <w:color w:val="000000"/>
          <w:sz w:val="20"/>
          <w:szCs w:val="20"/>
        </w:rPr>
        <w:t xml:space="preserve">Por estos fundamentos, de conformidad con el informe del Vocal Ponente </w:t>
      </w:r>
      <w:r w:rsidRPr="00D43251">
        <w:rPr>
          <w:rFonts w:ascii="Tahoma" w:hAnsi="Tahoma" w:cs="Tahoma"/>
          <w:sz w:val="20"/>
          <w:szCs w:val="20"/>
        </w:rPr>
        <w:t>Doctor Carlos Vicente Navas Rondón</w:t>
      </w:r>
      <w:r w:rsidRPr="00D43251">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D43251" w:rsidRDefault="00E13E6B" w:rsidP="00E13E6B">
      <w:pPr>
        <w:jc w:val="both"/>
        <w:rPr>
          <w:rFonts w:ascii="Tahoma" w:hAnsi="Tahoma" w:cs="Tahoma"/>
          <w:sz w:val="20"/>
          <w:szCs w:val="20"/>
        </w:rPr>
      </w:pPr>
    </w:p>
    <w:p w:rsidR="00E13E6B" w:rsidRPr="00D43251" w:rsidRDefault="00E13E6B" w:rsidP="00E13E6B">
      <w:pPr>
        <w:ind w:firstLine="567"/>
        <w:jc w:val="both"/>
        <w:rPr>
          <w:rFonts w:ascii="Tahoma" w:hAnsi="Tahoma" w:cs="Tahoma"/>
          <w:b/>
          <w:sz w:val="20"/>
          <w:szCs w:val="20"/>
        </w:rPr>
      </w:pPr>
      <w:r w:rsidRPr="00D43251">
        <w:rPr>
          <w:rFonts w:ascii="Tahoma" w:hAnsi="Tahoma" w:cs="Tahoma"/>
          <w:b/>
          <w:sz w:val="20"/>
          <w:szCs w:val="20"/>
        </w:rPr>
        <w:t xml:space="preserve">LA SALA RESUELVE: </w:t>
      </w:r>
    </w:p>
    <w:p w:rsidR="00E13E6B" w:rsidRPr="00D43251" w:rsidRDefault="00E13E6B" w:rsidP="00E13E6B">
      <w:pPr>
        <w:ind w:left="400"/>
        <w:jc w:val="both"/>
        <w:rPr>
          <w:rFonts w:ascii="Tahoma" w:hAnsi="Tahoma" w:cs="Tahoma"/>
          <w:snapToGrid w:val="0"/>
          <w:sz w:val="20"/>
          <w:szCs w:val="20"/>
        </w:rPr>
      </w:pPr>
    </w:p>
    <w:p w:rsidR="00D43251" w:rsidRPr="00D43251" w:rsidRDefault="00D43251" w:rsidP="00D43251">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D43251">
        <w:rPr>
          <w:rFonts w:ascii="Tahoma" w:hAnsi="Tahoma" w:cs="Tahoma"/>
          <w:sz w:val="20"/>
          <w:szCs w:val="20"/>
        </w:rPr>
        <w:t xml:space="preserve">Imponer a la empresa WISE TECHNOLOGIES E.I.R.L. sanción administrativa de inhabilitación temporal por el período de doce (12) meses en sus derechos de participar en </w:t>
      </w:r>
      <w:r w:rsidRPr="00D43251">
        <w:rPr>
          <w:rFonts w:ascii="Tahoma" w:hAnsi="Tahoma" w:cs="Tahoma"/>
          <w:sz w:val="20"/>
          <w:szCs w:val="20"/>
        </w:rPr>
        <w:lastRenderedPageBreak/>
        <w:t>procesos de selección y contratar con el Estado, por la comisión de la infracción tipificada en el numeral 2) del artículo 294 del Reglamento de la Ley de Contrataciones y Adquisiciones del Estado, la cual entrará en vigencia a partir del sexto día hábil siguiente de su notificación.</w:t>
      </w:r>
    </w:p>
    <w:p w:rsidR="00D43251" w:rsidRPr="00D43251" w:rsidRDefault="00D43251" w:rsidP="00D43251">
      <w:pPr>
        <w:pStyle w:val="Textoindependiente2"/>
        <w:spacing w:after="0" w:line="240" w:lineRule="auto"/>
        <w:ind w:left="540"/>
        <w:jc w:val="both"/>
        <w:rPr>
          <w:rFonts w:ascii="Tahoma" w:hAnsi="Tahoma" w:cs="Tahoma"/>
          <w:sz w:val="20"/>
          <w:szCs w:val="20"/>
        </w:rPr>
      </w:pPr>
    </w:p>
    <w:p w:rsidR="00D43251" w:rsidRPr="00D43251" w:rsidRDefault="00D43251" w:rsidP="00D43251">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D43251">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E13E6B" w:rsidRPr="00D43251" w:rsidRDefault="00E13E6B" w:rsidP="00E13E6B">
      <w:pPr>
        <w:pStyle w:val="Prrafodelista"/>
        <w:jc w:val="both"/>
        <w:rPr>
          <w:rFonts w:ascii="Tahoma" w:hAnsi="Tahoma" w:cs="Tahoma"/>
        </w:rPr>
      </w:pPr>
    </w:p>
    <w:p w:rsidR="00E13E6B" w:rsidRPr="00D43251" w:rsidRDefault="00E13E6B" w:rsidP="00E13E6B">
      <w:pPr>
        <w:pStyle w:val="Textoindependiente21"/>
        <w:ind w:firstLine="360"/>
        <w:rPr>
          <w:rFonts w:cs="Tahoma"/>
          <w:sz w:val="20"/>
        </w:rPr>
      </w:pPr>
      <w:r w:rsidRPr="00D43251">
        <w:rPr>
          <w:rFonts w:cs="Tahoma"/>
          <w:sz w:val="20"/>
        </w:rPr>
        <w:t>Regístrese, comuníquese y publíquese.</w:t>
      </w:r>
    </w:p>
    <w:p w:rsidR="00E13E6B" w:rsidRPr="00D43251" w:rsidRDefault="00E13E6B" w:rsidP="00E13E6B">
      <w:pPr>
        <w:jc w:val="both"/>
        <w:rPr>
          <w:rFonts w:ascii="Tahoma" w:hAnsi="Tahoma" w:cs="Tahoma"/>
          <w:b/>
          <w:bCs/>
          <w:shadow/>
          <w:sz w:val="20"/>
          <w:szCs w:val="20"/>
        </w:rPr>
      </w:pPr>
    </w:p>
    <w:p w:rsidR="00A52C81" w:rsidRPr="00D43251" w:rsidRDefault="00A52C81" w:rsidP="00E13E6B">
      <w:pPr>
        <w:jc w:val="both"/>
        <w:rPr>
          <w:rFonts w:ascii="Tahoma" w:hAnsi="Tahoma" w:cs="Tahoma"/>
          <w:b/>
          <w:bCs/>
          <w:shadow/>
          <w:sz w:val="20"/>
          <w:szCs w:val="20"/>
        </w:rPr>
      </w:pPr>
    </w:p>
    <w:p w:rsidR="006E5BF8" w:rsidRPr="00D43251" w:rsidRDefault="006E5BF8" w:rsidP="00E13E6B">
      <w:pPr>
        <w:jc w:val="both"/>
        <w:rPr>
          <w:rFonts w:ascii="Tahoma" w:hAnsi="Tahoma" w:cs="Tahoma"/>
          <w:b/>
          <w:bCs/>
          <w:shadow/>
          <w:sz w:val="20"/>
          <w:szCs w:val="20"/>
        </w:rPr>
      </w:pPr>
    </w:p>
    <w:p w:rsidR="00DA127C" w:rsidRPr="00D43251" w:rsidRDefault="00DA127C" w:rsidP="00E13E6B">
      <w:pPr>
        <w:jc w:val="both"/>
        <w:rPr>
          <w:rFonts w:ascii="Tahoma" w:hAnsi="Tahoma" w:cs="Tahoma"/>
          <w:b/>
          <w:bCs/>
          <w:shadow/>
          <w:sz w:val="20"/>
          <w:szCs w:val="20"/>
        </w:rPr>
      </w:pPr>
    </w:p>
    <w:p w:rsidR="00DA127C" w:rsidRPr="00D43251" w:rsidRDefault="00DA127C" w:rsidP="00E13E6B">
      <w:pPr>
        <w:jc w:val="both"/>
        <w:rPr>
          <w:rFonts w:ascii="Tahoma" w:hAnsi="Tahoma" w:cs="Tahoma"/>
          <w:b/>
          <w:bCs/>
          <w:shadow/>
          <w:sz w:val="20"/>
          <w:szCs w:val="20"/>
        </w:rPr>
      </w:pPr>
    </w:p>
    <w:p w:rsidR="00DA127C" w:rsidRPr="00D43251" w:rsidRDefault="00DA127C" w:rsidP="00E13E6B">
      <w:pPr>
        <w:jc w:val="both"/>
        <w:rPr>
          <w:rFonts w:ascii="Tahoma" w:hAnsi="Tahoma" w:cs="Tahoma"/>
          <w:b/>
          <w:bCs/>
          <w:shadow/>
          <w:sz w:val="20"/>
          <w:szCs w:val="20"/>
        </w:rPr>
      </w:pPr>
    </w:p>
    <w:p w:rsidR="00EC4953" w:rsidRPr="00D43251" w:rsidRDefault="00EC4953" w:rsidP="00E13E6B">
      <w:pPr>
        <w:jc w:val="both"/>
        <w:rPr>
          <w:rFonts w:ascii="Tahoma" w:hAnsi="Tahoma" w:cs="Tahoma"/>
          <w:b/>
          <w:bCs/>
          <w:shadow/>
          <w:sz w:val="20"/>
          <w:szCs w:val="20"/>
        </w:rPr>
      </w:pPr>
    </w:p>
    <w:p w:rsidR="00E13E6B" w:rsidRPr="00D43251" w:rsidRDefault="00E13E6B" w:rsidP="00295C50">
      <w:pPr>
        <w:jc w:val="center"/>
        <w:rPr>
          <w:rFonts w:ascii="Tahoma" w:hAnsi="Tahoma" w:cs="Tahoma"/>
          <w:b/>
          <w:bCs/>
          <w:shadow/>
          <w:sz w:val="20"/>
          <w:szCs w:val="20"/>
        </w:rPr>
      </w:pPr>
      <w:r w:rsidRPr="00D43251">
        <w:rPr>
          <w:rFonts w:ascii="Tahoma" w:hAnsi="Tahoma" w:cs="Tahoma"/>
          <w:b/>
          <w:bCs/>
          <w:shadow/>
          <w:sz w:val="20"/>
          <w:szCs w:val="20"/>
        </w:rPr>
        <w:t>PRESIDENTE</w:t>
      </w:r>
    </w:p>
    <w:p w:rsidR="00E13E6B" w:rsidRPr="00D43251" w:rsidRDefault="00E13E6B" w:rsidP="00C5251B">
      <w:pPr>
        <w:jc w:val="center"/>
        <w:rPr>
          <w:rFonts w:ascii="Tahoma" w:hAnsi="Tahoma" w:cs="Tahoma"/>
          <w:b/>
          <w:bCs/>
          <w:shadow/>
          <w:sz w:val="20"/>
          <w:szCs w:val="20"/>
        </w:rPr>
      </w:pPr>
    </w:p>
    <w:p w:rsidR="00E13E6B" w:rsidRPr="00D43251" w:rsidRDefault="00E13E6B" w:rsidP="00C5251B">
      <w:pPr>
        <w:jc w:val="center"/>
        <w:rPr>
          <w:rFonts w:ascii="Tahoma" w:hAnsi="Tahoma" w:cs="Tahoma"/>
          <w:b/>
          <w:bCs/>
          <w:shadow/>
          <w:sz w:val="20"/>
          <w:szCs w:val="20"/>
        </w:rPr>
      </w:pPr>
    </w:p>
    <w:p w:rsidR="00DA127C" w:rsidRPr="00D43251" w:rsidRDefault="00DA127C" w:rsidP="00C5251B">
      <w:pPr>
        <w:jc w:val="center"/>
        <w:rPr>
          <w:rFonts w:ascii="Tahoma" w:hAnsi="Tahoma" w:cs="Tahoma"/>
          <w:b/>
          <w:bCs/>
          <w:shadow/>
          <w:sz w:val="20"/>
          <w:szCs w:val="20"/>
        </w:rPr>
      </w:pPr>
    </w:p>
    <w:p w:rsidR="00DA127C" w:rsidRPr="00D43251" w:rsidRDefault="00DA127C" w:rsidP="00C5251B">
      <w:pPr>
        <w:jc w:val="center"/>
        <w:rPr>
          <w:rFonts w:ascii="Tahoma" w:hAnsi="Tahoma" w:cs="Tahoma"/>
          <w:b/>
          <w:bCs/>
          <w:shadow/>
          <w:sz w:val="20"/>
          <w:szCs w:val="20"/>
        </w:rPr>
      </w:pPr>
    </w:p>
    <w:p w:rsidR="00E13E6B" w:rsidRPr="00D43251" w:rsidRDefault="00E13E6B" w:rsidP="00C5251B">
      <w:pPr>
        <w:jc w:val="center"/>
        <w:rPr>
          <w:rFonts w:ascii="Tahoma" w:hAnsi="Tahoma" w:cs="Tahoma"/>
          <w:b/>
          <w:bCs/>
          <w:shadow/>
          <w:sz w:val="20"/>
          <w:szCs w:val="20"/>
        </w:rPr>
      </w:pPr>
    </w:p>
    <w:p w:rsidR="00E13E6B" w:rsidRPr="00D43251" w:rsidRDefault="00E13E6B" w:rsidP="00C5251B">
      <w:pPr>
        <w:jc w:val="center"/>
        <w:rPr>
          <w:rFonts w:ascii="Tahoma" w:hAnsi="Tahoma" w:cs="Tahoma"/>
          <w:b/>
          <w:shadow/>
          <w:sz w:val="20"/>
          <w:szCs w:val="20"/>
        </w:rPr>
      </w:pPr>
      <w:r w:rsidRPr="00D43251">
        <w:rPr>
          <w:rFonts w:ascii="Tahoma" w:hAnsi="Tahoma" w:cs="Tahoma"/>
          <w:b/>
          <w:shadow/>
          <w:sz w:val="20"/>
          <w:szCs w:val="20"/>
        </w:rPr>
        <w:t xml:space="preserve">VOCAL           </w:t>
      </w:r>
      <w:r w:rsidRPr="00D43251">
        <w:rPr>
          <w:rFonts w:ascii="Tahoma" w:hAnsi="Tahoma" w:cs="Tahoma"/>
          <w:b/>
          <w:shadow/>
          <w:sz w:val="20"/>
          <w:szCs w:val="20"/>
        </w:rPr>
        <w:tab/>
      </w:r>
      <w:r w:rsidRPr="00D43251">
        <w:rPr>
          <w:rFonts w:ascii="Tahoma" w:hAnsi="Tahoma" w:cs="Tahoma"/>
          <w:b/>
          <w:shadow/>
          <w:sz w:val="20"/>
          <w:szCs w:val="20"/>
        </w:rPr>
        <w:tab/>
        <w:t xml:space="preserve">                                                                VOCAL</w:t>
      </w:r>
    </w:p>
    <w:p w:rsidR="00635F2E" w:rsidRPr="00D43251" w:rsidRDefault="00635F2E" w:rsidP="00E13E6B">
      <w:pPr>
        <w:jc w:val="both"/>
        <w:rPr>
          <w:rFonts w:ascii="Tahoma" w:hAnsi="Tahoma" w:cs="Tahoma"/>
          <w:sz w:val="20"/>
          <w:szCs w:val="20"/>
        </w:rPr>
      </w:pPr>
    </w:p>
    <w:p w:rsidR="00635F2E" w:rsidRPr="00D43251" w:rsidRDefault="00635F2E" w:rsidP="00E13E6B">
      <w:pPr>
        <w:jc w:val="both"/>
        <w:rPr>
          <w:rFonts w:ascii="Tahoma" w:hAnsi="Tahoma" w:cs="Tahoma"/>
          <w:sz w:val="20"/>
          <w:szCs w:val="20"/>
        </w:rPr>
      </w:pPr>
    </w:p>
    <w:p w:rsidR="00635F2E" w:rsidRPr="00D43251" w:rsidRDefault="00635F2E" w:rsidP="00E13E6B">
      <w:pPr>
        <w:jc w:val="both"/>
        <w:rPr>
          <w:rFonts w:ascii="Tahoma" w:hAnsi="Tahoma" w:cs="Tahoma"/>
          <w:sz w:val="20"/>
          <w:szCs w:val="20"/>
        </w:rPr>
      </w:pPr>
    </w:p>
    <w:p w:rsidR="00E13E6B" w:rsidRPr="00D43251" w:rsidRDefault="00E13E6B" w:rsidP="00E13E6B">
      <w:pPr>
        <w:jc w:val="both"/>
        <w:rPr>
          <w:rFonts w:ascii="Tahoma" w:hAnsi="Tahoma" w:cs="Tahoma"/>
          <w:sz w:val="20"/>
          <w:szCs w:val="20"/>
        </w:rPr>
      </w:pPr>
      <w:r w:rsidRPr="00D43251">
        <w:rPr>
          <w:rFonts w:ascii="Tahoma" w:hAnsi="Tahoma" w:cs="Tahoma"/>
          <w:sz w:val="20"/>
          <w:szCs w:val="20"/>
        </w:rPr>
        <w:t>ss.</w:t>
      </w:r>
    </w:p>
    <w:p w:rsidR="00351F6F" w:rsidRPr="00D43251" w:rsidRDefault="00351F6F" w:rsidP="00351F6F">
      <w:pPr>
        <w:jc w:val="both"/>
        <w:rPr>
          <w:rFonts w:ascii="Tahoma" w:hAnsi="Tahoma" w:cs="Tahoma"/>
          <w:sz w:val="20"/>
          <w:szCs w:val="20"/>
        </w:rPr>
      </w:pPr>
      <w:r w:rsidRPr="00D43251">
        <w:rPr>
          <w:rFonts w:ascii="Tahoma" w:hAnsi="Tahoma" w:cs="Tahoma"/>
          <w:sz w:val="20"/>
          <w:szCs w:val="20"/>
        </w:rPr>
        <w:t>Navas Rondón</w:t>
      </w:r>
    </w:p>
    <w:p w:rsidR="00351F6F" w:rsidRPr="00D43251" w:rsidRDefault="00351F6F" w:rsidP="00351F6F">
      <w:pPr>
        <w:jc w:val="both"/>
        <w:rPr>
          <w:rFonts w:ascii="Tahoma" w:hAnsi="Tahoma" w:cs="Tahoma"/>
          <w:color w:val="000000"/>
          <w:sz w:val="20"/>
          <w:szCs w:val="20"/>
        </w:rPr>
      </w:pPr>
      <w:r w:rsidRPr="00D43251">
        <w:rPr>
          <w:rFonts w:ascii="Tahoma" w:hAnsi="Tahoma" w:cs="Tahoma"/>
          <w:color w:val="000000"/>
          <w:sz w:val="20"/>
          <w:szCs w:val="20"/>
        </w:rPr>
        <w:t xml:space="preserve">Ramírez Maynetto </w:t>
      </w:r>
    </w:p>
    <w:p w:rsidR="00351F6F" w:rsidRPr="00D43251" w:rsidRDefault="00351F6F" w:rsidP="00351F6F">
      <w:pPr>
        <w:jc w:val="both"/>
        <w:rPr>
          <w:rFonts w:ascii="Tahoma" w:hAnsi="Tahoma" w:cs="Tahoma"/>
          <w:sz w:val="20"/>
          <w:szCs w:val="20"/>
        </w:rPr>
      </w:pPr>
      <w:r w:rsidRPr="00D43251">
        <w:rPr>
          <w:rFonts w:ascii="Tahoma" w:hAnsi="Tahoma" w:cs="Tahoma"/>
          <w:sz w:val="20"/>
          <w:szCs w:val="20"/>
        </w:rPr>
        <w:t>Basulto Liewald.</w:t>
      </w:r>
    </w:p>
    <w:p w:rsidR="002C6D86" w:rsidRPr="00D43251" w:rsidRDefault="00434E81" w:rsidP="00351F6F">
      <w:pPr>
        <w:jc w:val="both"/>
        <w:rPr>
          <w:rFonts w:ascii="Tahoma" w:hAnsi="Tahoma" w:cs="Tahoma"/>
          <w:sz w:val="20"/>
          <w:szCs w:val="20"/>
        </w:rPr>
      </w:pPr>
    </w:p>
    <w:sectPr w:rsidR="002C6D86" w:rsidRPr="00D43251"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E81" w:rsidRDefault="00434E81" w:rsidP="00E13E6B">
      <w:r>
        <w:separator/>
      </w:r>
    </w:p>
  </w:endnote>
  <w:endnote w:type="continuationSeparator" w:id="1">
    <w:p w:rsidR="00434E81" w:rsidRDefault="00434E81"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434E81" w:rsidP="00E066F0">
    <w:pPr>
      <w:pStyle w:val="Piedepgina"/>
      <w:jc w:val="center"/>
    </w:pPr>
  </w:p>
  <w:p w:rsidR="00E066F0" w:rsidRDefault="005B0EEA" w:rsidP="00E066F0">
    <w:pPr>
      <w:pStyle w:val="Piedepgina"/>
      <w:jc w:val="center"/>
    </w:pPr>
    <w:r>
      <w:t xml:space="preserve">Página </w:t>
    </w:r>
    <w:r w:rsidR="005463C8">
      <w:fldChar w:fldCharType="begin"/>
    </w:r>
    <w:r>
      <w:instrText>PAGE</w:instrText>
    </w:r>
    <w:r w:rsidR="005463C8">
      <w:fldChar w:fldCharType="separate"/>
    </w:r>
    <w:r w:rsidR="002C4815">
      <w:rPr>
        <w:noProof/>
      </w:rPr>
      <w:t>1</w:t>
    </w:r>
    <w:r w:rsidR="005463C8">
      <w:fldChar w:fldCharType="end"/>
    </w:r>
    <w:r w:rsidRPr="006214E4">
      <w:t xml:space="preserve"> de </w:t>
    </w:r>
    <w:r w:rsidR="005463C8">
      <w:fldChar w:fldCharType="begin"/>
    </w:r>
    <w:r>
      <w:instrText>NUMPAGES</w:instrText>
    </w:r>
    <w:r w:rsidR="005463C8">
      <w:fldChar w:fldCharType="separate"/>
    </w:r>
    <w:r w:rsidR="002C4815">
      <w:rPr>
        <w:noProof/>
      </w:rPr>
      <w:t>9</w:t>
    </w:r>
    <w:r w:rsidR="005463C8">
      <w:fldChar w:fldCharType="end"/>
    </w:r>
  </w:p>
  <w:p w:rsidR="00E066F0" w:rsidRPr="00223795" w:rsidRDefault="00434E81"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E81" w:rsidRDefault="00434E81" w:rsidP="00E13E6B">
      <w:r>
        <w:separator/>
      </w:r>
    </w:p>
  </w:footnote>
  <w:footnote w:type="continuationSeparator" w:id="1">
    <w:p w:rsidR="00434E81" w:rsidRDefault="00434E81" w:rsidP="00E13E6B">
      <w:r>
        <w:continuationSeparator/>
      </w:r>
    </w:p>
  </w:footnote>
  <w:footnote w:id="2">
    <w:p w:rsidR="00D43251" w:rsidRPr="00DC271D" w:rsidRDefault="00D43251" w:rsidP="00D43251">
      <w:pPr>
        <w:pStyle w:val="Textonotapie"/>
        <w:rPr>
          <w:sz w:val="16"/>
          <w:szCs w:val="16"/>
        </w:rPr>
      </w:pPr>
      <w:r w:rsidRPr="00DC271D">
        <w:rPr>
          <w:rStyle w:val="Refdenotaalpie"/>
          <w:sz w:val="16"/>
          <w:szCs w:val="16"/>
        </w:rPr>
        <w:footnoteRef/>
      </w:r>
      <w:r w:rsidRPr="00DC271D">
        <w:rPr>
          <w:sz w:val="16"/>
          <w:szCs w:val="16"/>
        </w:rPr>
        <w:t xml:space="preserve"> </w:t>
      </w:r>
      <w:r w:rsidRPr="00DC271D">
        <w:rPr>
          <w:b/>
          <w:bCs/>
          <w:sz w:val="16"/>
          <w:szCs w:val="16"/>
        </w:rPr>
        <w:t>Artículo 294.- Causales de aplicación de sanción a los proveedores, participantes, postores y contratistas</w:t>
      </w:r>
    </w:p>
    <w:p w:rsidR="00D43251" w:rsidRPr="00DC271D" w:rsidRDefault="00D43251" w:rsidP="00D43251">
      <w:pPr>
        <w:pStyle w:val="Textonotapie"/>
        <w:rPr>
          <w:sz w:val="16"/>
          <w:szCs w:val="16"/>
        </w:rPr>
      </w:pPr>
      <w:r w:rsidRPr="00DC271D">
        <w:rPr>
          <w:sz w:val="16"/>
          <w:szCs w:val="16"/>
        </w:rPr>
        <w:t>El Tribunal impondrá la sanción administrativa de inhabilitación temporal o definitiva a los proveedores, participantes, postores y/o contratistas que:</w:t>
      </w:r>
    </w:p>
    <w:p w:rsidR="00D43251" w:rsidRPr="00DC271D" w:rsidRDefault="00D43251" w:rsidP="00D43251">
      <w:pPr>
        <w:pStyle w:val="Textonotapie"/>
        <w:rPr>
          <w:sz w:val="16"/>
          <w:szCs w:val="16"/>
        </w:rPr>
      </w:pPr>
      <w:r w:rsidRPr="00DC271D">
        <w:rPr>
          <w:sz w:val="16"/>
          <w:szCs w:val="16"/>
        </w:rPr>
        <w:t>(…)</w:t>
      </w:r>
    </w:p>
    <w:p w:rsidR="00D43251" w:rsidRPr="00DC271D" w:rsidRDefault="00D43251" w:rsidP="00D43251">
      <w:pPr>
        <w:pStyle w:val="Textonotapie"/>
        <w:rPr>
          <w:sz w:val="16"/>
          <w:szCs w:val="16"/>
        </w:rPr>
      </w:pPr>
      <w:r w:rsidRPr="00DC271D">
        <w:rPr>
          <w:sz w:val="16"/>
          <w:szCs w:val="16"/>
        </w:rPr>
        <w:t>2) Den lugar a la resolución del contrato, orden de compra o de servicios por causal atribuible a su parte.</w:t>
      </w:r>
    </w:p>
    <w:p w:rsidR="00D43251" w:rsidRPr="007C2CD7" w:rsidRDefault="00D43251" w:rsidP="00D43251">
      <w:pPr>
        <w:pStyle w:val="Textonotapie"/>
        <w:rPr>
          <w:rFonts w:cs="Tahoma"/>
          <w:sz w:val="18"/>
          <w:szCs w:val="18"/>
        </w:rPr>
      </w:pPr>
    </w:p>
  </w:footnote>
  <w:footnote w:id="3">
    <w:p w:rsidR="00D43251" w:rsidRPr="006A3728" w:rsidRDefault="00D43251" w:rsidP="00D43251">
      <w:pPr>
        <w:pStyle w:val="Textonotapie"/>
        <w:rPr>
          <w:rFonts w:cs="Tahoma"/>
          <w:sz w:val="14"/>
          <w:szCs w:val="14"/>
        </w:rPr>
      </w:pPr>
      <w:r w:rsidRPr="006A3728">
        <w:rPr>
          <w:rStyle w:val="Refdenotaalpie"/>
          <w:rFonts w:cs="Tahoma"/>
          <w:sz w:val="14"/>
          <w:szCs w:val="14"/>
        </w:rPr>
        <w:footnoteRef/>
      </w:r>
      <w:r w:rsidRPr="006A3728">
        <w:rPr>
          <w:rFonts w:cs="Tahoma"/>
          <w:sz w:val="14"/>
          <w:szCs w:val="14"/>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p w:rsidR="00D43251" w:rsidRPr="00CD30A1" w:rsidRDefault="00D43251" w:rsidP="00D43251">
      <w:pPr>
        <w:pStyle w:val="Textonotapie"/>
        <w:rPr>
          <w:rFonts w:cs="Tahoma"/>
          <w:sz w:val="18"/>
          <w:szCs w:val="18"/>
        </w:rPr>
      </w:pPr>
    </w:p>
  </w:footnote>
  <w:footnote w:id="4">
    <w:p w:rsidR="00D43251" w:rsidRPr="008A535F" w:rsidRDefault="00D43251" w:rsidP="00D43251">
      <w:pPr>
        <w:pStyle w:val="Textonotapie"/>
        <w:ind w:left="142" w:hanging="142"/>
        <w:rPr>
          <w:rFonts w:cs="Tahoma"/>
          <w:sz w:val="16"/>
          <w:szCs w:val="16"/>
        </w:rPr>
      </w:pPr>
      <w:r w:rsidRPr="008A535F">
        <w:rPr>
          <w:rStyle w:val="Refdenotaalpie"/>
          <w:rFonts w:cs="Tahoma"/>
          <w:i/>
          <w:sz w:val="16"/>
          <w:szCs w:val="16"/>
        </w:rPr>
        <w:footnoteRef/>
      </w:r>
      <w:r w:rsidRPr="008A535F">
        <w:rPr>
          <w:rFonts w:cs="Tahoma"/>
          <w:i/>
          <w:sz w:val="16"/>
          <w:szCs w:val="16"/>
        </w:rPr>
        <w:t xml:space="preserve"> </w:t>
      </w:r>
      <w:r w:rsidRPr="008A535F">
        <w:rPr>
          <w:rFonts w:cs="Tahoma"/>
          <w:b/>
          <w:sz w:val="16"/>
          <w:szCs w:val="16"/>
        </w:rPr>
        <w:t>Artículo 1329.-</w:t>
      </w:r>
      <w:r w:rsidRPr="008A535F">
        <w:rPr>
          <w:rFonts w:cs="Tahoma"/>
          <w:sz w:val="16"/>
          <w:szCs w:val="16"/>
        </w:rPr>
        <w:t xml:space="preserve"> Se presume que la inejecución de la obligación o su cumplimiento parcial, tardío o defectuoso obedece a culpa leve del deudor.</w:t>
      </w:r>
    </w:p>
    <w:p w:rsidR="00D43251" w:rsidRPr="008A535F" w:rsidRDefault="00D43251" w:rsidP="00D43251">
      <w:pPr>
        <w:pStyle w:val="Textonotapie"/>
        <w:ind w:left="142" w:hanging="142"/>
        <w:rPr>
          <w:rFonts w:cs="Tahoma"/>
          <w:sz w:val="16"/>
          <w:szCs w:val="16"/>
        </w:rPr>
      </w:pPr>
    </w:p>
  </w:footnote>
  <w:footnote w:id="5">
    <w:p w:rsidR="00D43251" w:rsidRPr="008A535F" w:rsidRDefault="00D43251" w:rsidP="00D43251">
      <w:pPr>
        <w:pStyle w:val="Textonotapie"/>
        <w:rPr>
          <w:rFonts w:cs="Tahoma"/>
          <w:b/>
          <w:sz w:val="16"/>
          <w:szCs w:val="16"/>
        </w:rPr>
      </w:pPr>
      <w:r w:rsidRPr="008A535F">
        <w:rPr>
          <w:rStyle w:val="Refdenotaalpie"/>
          <w:rFonts w:cs="Tahoma"/>
          <w:sz w:val="16"/>
          <w:szCs w:val="16"/>
        </w:rPr>
        <w:footnoteRef/>
      </w:r>
      <w:r w:rsidRPr="008A535F">
        <w:rPr>
          <w:rFonts w:cs="Tahoma"/>
          <w:sz w:val="16"/>
          <w:szCs w:val="16"/>
        </w:rPr>
        <w:t xml:space="preserve"> </w:t>
      </w:r>
      <w:r w:rsidRPr="008A535F">
        <w:rPr>
          <w:rFonts w:cs="Tahoma"/>
          <w:b/>
          <w:sz w:val="16"/>
          <w:szCs w:val="16"/>
        </w:rPr>
        <w:t>Artículo 302.- Determinación gradual de la sanción.-</w:t>
      </w:r>
    </w:p>
    <w:p w:rsidR="00D43251" w:rsidRPr="008A535F" w:rsidRDefault="00D43251" w:rsidP="00D43251">
      <w:pPr>
        <w:pStyle w:val="Textonotapie"/>
        <w:rPr>
          <w:rFonts w:cs="Tahoma"/>
          <w:sz w:val="16"/>
          <w:szCs w:val="16"/>
        </w:rPr>
      </w:pPr>
      <w:r w:rsidRPr="008A535F">
        <w:rPr>
          <w:rFonts w:cs="Tahoma"/>
          <w:sz w:val="16"/>
          <w:szCs w:val="16"/>
        </w:rPr>
        <w:t xml:space="preserve">  Para graduar la sanción a imponerse se considerarán los siguientes criterios:</w:t>
      </w:r>
    </w:p>
    <w:p w:rsidR="00D43251" w:rsidRPr="008A535F" w:rsidRDefault="00D43251" w:rsidP="00D43251">
      <w:pPr>
        <w:pStyle w:val="Textonotapie"/>
        <w:numPr>
          <w:ilvl w:val="0"/>
          <w:numId w:val="14"/>
        </w:numPr>
        <w:rPr>
          <w:rFonts w:cs="Tahoma"/>
          <w:sz w:val="16"/>
          <w:szCs w:val="16"/>
        </w:rPr>
      </w:pPr>
      <w:r w:rsidRPr="008A535F">
        <w:rPr>
          <w:rFonts w:cs="Tahoma"/>
          <w:sz w:val="16"/>
          <w:szCs w:val="16"/>
        </w:rPr>
        <w:t>Naturaleza de la infracción.</w:t>
      </w:r>
    </w:p>
    <w:p w:rsidR="00D43251" w:rsidRPr="008A535F" w:rsidRDefault="00D43251" w:rsidP="00D43251">
      <w:pPr>
        <w:pStyle w:val="Textonotapie"/>
        <w:numPr>
          <w:ilvl w:val="0"/>
          <w:numId w:val="14"/>
        </w:numPr>
        <w:rPr>
          <w:rFonts w:cs="Tahoma"/>
          <w:sz w:val="16"/>
          <w:szCs w:val="16"/>
        </w:rPr>
      </w:pPr>
      <w:r w:rsidRPr="008A535F">
        <w:rPr>
          <w:rFonts w:cs="Tahoma"/>
          <w:sz w:val="16"/>
          <w:szCs w:val="16"/>
        </w:rPr>
        <w:t>Intencionalidad del infractor.</w:t>
      </w:r>
    </w:p>
    <w:p w:rsidR="00D43251" w:rsidRPr="008A535F" w:rsidRDefault="00D43251" w:rsidP="00D43251">
      <w:pPr>
        <w:pStyle w:val="Textonotapie"/>
        <w:numPr>
          <w:ilvl w:val="0"/>
          <w:numId w:val="14"/>
        </w:numPr>
        <w:rPr>
          <w:rFonts w:cs="Tahoma"/>
          <w:b/>
          <w:sz w:val="16"/>
          <w:szCs w:val="16"/>
        </w:rPr>
      </w:pPr>
      <w:r w:rsidRPr="008A535F">
        <w:rPr>
          <w:rFonts w:cs="Tahoma"/>
          <w:sz w:val="16"/>
          <w:szCs w:val="16"/>
        </w:rPr>
        <w:t>Daño causado.</w:t>
      </w:r>
    </w:p>
    <w:p w:rsidR="00D43251" w:rsidRPr="008A535F" w:rsidRDefault="00D43251" w:rsidP="00D43251">
      <w:pPr>
        <w:pStyle w:val="Textonotapie"/>
        <w:numPr>
          <w:ilvl w:val="0"/>
          <w:numId w:val="14"/>
        </w:numPr>
        <w:rPr>
          <w:rFonts w:cs="Tahoma"/>
          <w:b/>
          <w:sz w:val="16"/>
          <w:szCs w:val="16"/>
        </w:rPr>
      </w:pPr>
      <w:r w:rsidRPr="008A535F">
        <w:rPr>
          <w:rFonts w:cs="Tahoma"/>
          <w:sz w:val="16"/>
          <w:szCs w:val="16"/>
        </w:rPr>
        <w:t>Reiterancia.</w:t>
      </w:r>
    </w:p>
    <w:p w:rsidR="00D43251" w:rsidRPr="008A535F" w:rsidRDefault="00D43251" w:rsidP="00D43251">
      <w:pPr>
        <w:pStyle w:val="Textonotapie"/>
        <w:numPr>
          <w:ilvl w:val="0"/>
          <w:numId w:val="14"/>
        </w:numPr>
        <w:rPr>
          <w:rFonts w:cs="Tahoma"/>
          <w:b/>
          <w:sz w:val="16"/>
          <w:szCs w:val="16"/>
        </w:rPr>
      </w:pPr>
      <w:r w:rsidRPr="008A535F">
        <w:rPr>
          <w:rFonts w:cs="Tahoma"/>
          <w:sz w:val="16"/>
          <w:szCs w:val="16"/>
        </w:rPr>
        <w:t>El reconocimiento de la infracción antes de que sea detectada.</w:t>
      </w:r>
    </w:p>
    <w:p w:rsidR="00D43251" w:rsidRPr="008A535F" w:rsidRDefault="00D43251" w:rsidP="00D43251">
      <w:pPr>
        <w:pStyle w:val="Textonotapie"/>
        <w:numPr>
          <w:ilvl w:val="0"/>
          <w:numId w:val="14"/>
        </w:numPr>
        <w:rPr>
          <w:rFonts w:cs="Tahoma"/>
          <w:b/>
          <w:sz w:val="16"/>
          <w:szCs w:val="16"/>
        </w:rPr>
      </w:pPr>
      <w:r w:rsidRPr="008A535F">
        <w:rPr>
          <w:rFonts w:cs="Tahoma"/>
          <w:sz w:val="16"/>
          <w:szCs w:val="16"/>
        </w:rPr>
        <w:t>Circunstancias de tiempo, lugar y modo.</w:t>
      </w:r>
    </w:p>
    <w:p w:rsidR="00D43251" w:rsidRDefault="00D43251" w:rsidP="00D43251">
      <w:pPr>
        <w:pStyle w:val="Textonotapie"/>
        <w:numPr>
          <w:ilvl w:val="0"/>
          <w:numId w:val="14"/>
        </w:numPr>
        <w:rPr>
          <w:rFonts w:cs="Tahoma"/>
          <w:b/>
          <w:sz w:val="16"/>
          <w:szCs w:val="16"/>
        </w:rPr>
      </w:pPr>
      <w:r w:rsidRPr="008A535F">
        <w:rPr>
          <w:rFonts w:cs="Tahoma"/>
          <w:sz w:val="16"/>
          <w:szCs w:val="16"/>
        </w:rPr>
        <w:t>Condiciones del Infractor.</w:t>
      </w:r>
    </w:p>
    <w:p w:rsidR="00D43251" w:rsidRPr="00CD2EF7" w:rsidRDefault="00D43251" w:rsidP="00D43251">
      <w:pPr>
        <w:pStyle w:val="Textonotapie"/>
        <w:numPr>
          <w:ilvl w:val="0"/>
          <w:numId w:val="14"/>
        </w:numPr>
        <w:rPr>
          <w:rFonts w:cs="Tahoma"/>
          <w:b/>
          <w:sz w:val="16"/>
          <w:szCs w:val="16"/>
        </w:rPr>
      </w:pPr>
      <w:r w:rsidRPr="00CD2EF7">
        <w:rPr>
          <w:rFonts w:cs="Tahoma"/>
          <w:sz w:val="16"/>
          <w:szCs w:val="16"/>
        </w:rPr>
        <w:t>Conducta procesal del infractor.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815" w:rsidRDefault="002C4815" w:rsidP="002C481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C4815" w:rsidRDefault="002C4815" w:rsidP="002C4815">
    <w:pPr>
      <w:pStyle w:val="Encabezado"/>
      <w:rPr>
        <w:noProof/>
      </w:rPr>
    </w:pPr>
  </w:p>
  <w:p w:rsidR="002C4815" w:rsidRDefault="002C4815" w:rsidP="002C4815">
    <w:pPr>
      <w:pStyle w:val="Encabezado"/>
      <w:rPr>
        <w:noProof/>
      </w:rPr>
    </w:pPr>
  </w:p>
  <w:p w:rsidR="002C4815" w:rsidRDefault="002C4815" w:rsidP="002C4815">
    <w:pPr>
      <w:pStyle w:val="Encabezado"/>
      <w:rPr>
        <w:noProof/>
      </w:rPr>
    </w:pPr>
  </w:p>
  <w:p w:rsidR="002C4815" w:rsidRDefault="002C4815" w:rsidP="002C4815">
    <w:pPr>
      <w:pStyle w:val="Encabezado"/>
      <w:jc w:val="center"/>
    </w:pPr>
    <w:r>
      <w:rPr>
        <w:rFonts w:ascii="Monotype Corsiva" w:hAnsi="Monotype Corsiva"/>
        <w:b/>
        <w:sz w:val="44"/>
        <w:szCs w:val="44"/>
      </w:rPr>
      <w:t xml:space="preserve">Resolución Nº   </w:t>
    </w:r>
    <w:r>
      <w:rPr>
        <w:rFonts w:ascii="Tahoma" w:hAnsi="Tahoma" w:cs="Tahoma"/>
        <w:b/>
        <w:sz w:val="44"/>
        <w:szCs w:val="44"/>
      </w:rPr>
      <w:t>608-2011-TC-S1</w:t>
    </w:r>
  </w:p>
  <w:p w:rsidR="002C4815" w:rsidRDefault="002C481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01CE751A"/>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0">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3">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6">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8">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19">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2">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4">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5">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1"/>
  </w:num>
  <w:num w:numId="4">
    <w:abstractNumId w:val="1"/>
  </w:num>
  <w:num w:numId="5">
    <w:abstractNumId w:val="25"/>
  </w:num>
  <w:num w:numId="6">
    <w:abstractNumId w:val="21"/>
  </w:num>
  <w:num w:numId="7">
    <w:abstractNumId w:val="19"/>
  </w:num>
  <w:num w:numId="8">
    <w:abstractNumId w:val="24"/>
  </w:num>
  <w:num w:numId="9">
    <w:abstractNumId w:val="17"/>
  </w:num>
  <w:num w:numId="10">
    <w:abstractNumId w:val="14"/>
  </w:num>
  <w:num w:numId="11">
    <w:abstractNumId w:val="4"/>
  </w:num>
  <w:num w:numId="12">
    <w:abstractNumId w:val="10"/>
  </w:num>
  <w:num w:numId="13">
    <w:abstractNumId w:val="2"/>
  </w:num>
  <w:num w:numId="14">
    <w:abstractNumId w:val="12"/>
  </w:num>
  <w:num w:numId="15">
    <w:abstractNumId w:val="18"/>
  </w:num>
  <w:num w:numId="16">
    <w:abstractNumId w:val="9"/>
  </w:num>
  <w:num w:numId="17">
    <w:abstractNumId w:val="20"/>
  </w:num>
  <w:num w:numId="18">
    <w:abstractNumId w:val="8"/>
  </w:num>
  <w:num w:numId="19">
    <w:abstractNumId w:val="22"/>
  </w:num>
  <w:num w:numId="20">
    <w:abstractNumId w:val="13"/>
  </w:num>
  <w:num w:numId="21">
    <w:abstractNumId w:val="6"/>
  </w:num>
  <w:num w:numId="22">
    <w:abstractNumId w:val="15"/>
  </w:num>
  <w:num w:numId="23">
    <w:abstractNumId w:val="7"/>
  </w:num>
  <w:num w:numId="24">
    <w:abstractNumId w:val="3"/>
  </w:num>
  <w:num w:numId="25">
    <w:abstractNumId w:val="0"/>
  </w:num>
  <w:num w:numId="26">
    <w:abstractNumId w:val="23"/>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rsids>
    <w:rsidRoot w:val="00E13E6B"/>
    <w:rsid w:val="00000BF4"/>
    <w:rsid w:val="00016207"/>
    <w:rsid w:val="00027FB1"/>
    <w:rsid w:val="00036145"/>
    <w:rsid w:val="00041FBA"/>
    <w:rsid w:val="0005582F"/>
    <w:rsid w:val="00082DF1"/>
    <w:rsid w:val="000B0A8A"/>
    <w:rsid w:val="000B0CEB"/>
    <w:rsid w:val="000B6C24"/>
    <w:rsid w:val="000D61B8"/>
    <w:rsid w:val="000E3E0B"/>
    <w:rsid w:val="001016D9"/>
    <w:rsid w:val="001337F7"/>
    <w:rsid w:val="00140241"/>
    <w:rsid w:val="00140DE4"/>
    <w:rsid w:val="00164CC7"/>
    <w:rsid w:val="001776B6"/>
    <w:rsid w:val="00187209"/>
    <w:rsid w:val="00187E2A"/>
    <w:rsid w:val="001C5BD6"/>
    <w:rsid w:val="001E448B"/>
    <w:rsid w:val="001E71F0"/>
    <w:rsid w:val="001F5C44"/>
    <w:rsid w:val="00214D5E"/>
    <w:rsid w:val="00222218"/>
    <w:rsid w:val="0022267E"/>
    <w:rsid w:val="00231184"/>
    <w:rsid w:val="0023169C"/>
    <w:rsid w:val="00254249"/>
    <w:rsid w:val="002837D2"/>
    <w:rsid w:val="00295C50"/>
    <w:rsid w:val="002C4815"/>
    <w:rsid w:val="00331E1A"/>
    <w:rsid w:val="003430DE"/>
    <w:rsid w:val="00351F6F"/>
    <w:rsid w:val="00360AFE"/>
    <w:rsid w:val="003B4F9C"/>
    <w:rsid w:val="004255A5"/>
    <w:rsid w:val="00434E81"/>
    <w:rsid w:val="00440D71"/>
    <w:rsid w:val="00442AC8"/>
    <w:rsid w:val="004515EA"/>
    <w:rsid w:val="00455F96"/>
    <w:rsid w:val="00466DC8"/>
    <w:rsid w:val="004C487F"/>
    <w:rsid w:val="004C5043"/>
    <w:rsid w:val="004F2CC5"/>
    <w:rsid w:val="00531D1E"/>
    <w:rsid w:val="005463C8"/>
    <w:rsid w:val="005521E5"/>
    <w:rsid w:val="00567032"/>
    <w:rsid w:val="0057348B"/>
    <w:rsid w:val="005B0EEA"/>
    <w:rsid w:val="005B1E24"/>
    <w:rsid w:val="005E3E1C"/>
    <w:rsid w:val="005F3C91"/>
    <w:rsid w:val="00635F2E"/>
    <w:rsid w:val="00642EE3"/>
    <w:rsid w:val="0065269D"/>
    <w:rsid w:val="006550D3"/>
    <w:rsid w:val="006B6377"/>
    <w:rsid w:val="006C0A94"/>
    <w:rsid w:val="006C2E41"/>
    <w:rsid w:val="006C5B6A"/>
    <w:rsid w:val="006D0A8D"/>
    <w:rsid w:val="006D2E88"/>
    <w:rsid w:val="006E4E4E"/>
    <w:rsid w:val="006E5571"/>
    <w:rsid w:val="006E5BF8"/>
    <w:rsid w:val="006F0656"/>
    <w:rsid w:val="006F3B1E"/>
    <w:rsid w:val="0074555F"/>
    <w:rsid w:val="007570AE"/>
    <w:rsid w:val="00763CC8"/>
    <w:rsid w:val="00766749"/>
    <w:rsid w:val="007728C3"/>
    <w:rsid w:val="007D7E70"/>
    <w:rsid w:val="007E4F29"/>
    <w:rsid w:val="008011A4"/>
    <w:rsid w:val="00822C2F"/>
    <w:rsid w:val="00826B5E"/>
    <w:rsid w:val="00835165"/>
    <w:rsid w:val="008734E8"/>
    <w:rsid w:val="00903A92"/>
    <w:rsid w:val="009066F9"/>
    <w:rsid w:val="00920048"/>
    <w:rsid w:val="0092385F"/>
    <w:rsid w:val="0092699F"/>
    <w:rsid w:val="00982D52"/>
    <w:rsid w:val="00992FEE"/>
    <w:rsid w:val="00993C05"/>
    <w:rsid w:val="009C2CF7"/>
    <w:rsid w:val="009E1F2A"/>
    <w:rsid w:val="00A52C81"/>
    <w:rsid w:val="00A9776E"/>
    <w:rsid w:val="00AA6BAC"/>
    <w:rsid w:val="00AA7525"/>
    <w:rsid w:val="00AB0F61"/>
    <w:rsid w:val="00AD4AB5"/>
    <w:rsid w:val="00B05429"/>
    <w:rsid w:val="00B06760"/>
    <w:rsid w:val="00B1735A"/>
    <w:rsid w:val="00B25FCD"/>
    <w:rsid w:val="00B31BA1"/>
    <w:rsid w:val="00B71CFC"/>
    <w:rsid w:val="00BE51B2"/>
    <w:rsid w:val="00BE67EB"/>
    <w:rsid w:val="00C15ECB"/>
    <w:rsid w:val="00C5251B"/>
    <w:rsid w:val="00C8148D"/>
    <w:rsid w:val="00CC3859"/>
    <w:rsid w:val="00CC52A3"/>
    <w:rsid w:val="00D002B4"/>
    <w:rsid w:val="00D069FF"/>
    <w:rsid w:val="00D115F8"/>
    <w:rsid w:val="00D13BC9"/>
    <w:rsid w:val="00D43251"/>
    <w:rsid w:val="00D445DC"/>
    <w:rsid w:val="00DA127C"/>
    <w:rsid w:val="00DA2C25"/>
    <w:rsid w:val="00DC3001"/>
    <w:rsid w:val="00DD589B"/>
    <w:rsid w:val="00E124B8"/>
    <w:rsid w:val="00E13E6B"/>
    <w:rsid w:val="00E1470E"/>
    <w:rsid w:val="00E633EF"/>
    <w:rsid w:val="00E77676"/>
    <w:rsid w:val="00E964AA"/>
    <w:rsid w:val="00EC4953"/>
    <w:rsid w:val="00EE4815"/>
    <w:rsid w:val="00EE7A6B"/>
    <w:rsid w:val="00F3647A"/>
    <w:rsid w:val="00F4438A"/>
    <w:rsid w:val="00F50510"/>
    <w:rsid w:val="00F66D53"/>
    <w:rsid w:val="00F77525"/>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99"/>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styleId="Encabezado">
    <w:name w:val="header"/>
    <w:aliases w:val="maria,h"/>
    <w:basedOn w:val="Normal"/>
    <w:link w:val="EncabezadoCar"/>
    <w:uiPriority w:val="99"/>
    <w:semiHidden/>
    <w:unhideWhenUsed/>
    <w:rsid w:val="002C481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2C4815"/>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04547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9</Pages>
  <Words>3653</Words>
  <Characters>20095</Characters>
  <Application>Microsoft Office Word</Application>
  <DocSecurity>0</DocSecurity>
  <Lines>167</Lines>
  <Paragraphs>47</Paragraphs>
  <ScaleCrop>false</ScaleCrop>
  <Company/>
  <LinksUpToDate>false</LinksUpToDate>
  <CharactersWithSpaces>23701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108</cp:revision>
  <cp:lastPrinted>2011-04-07T13:14:00Z</cp:lastPrinted>
  <dcterms:created xsi:type="dcterms:W3CDTF">2010-04-16T12:41:00Z</dcterms:created>
  <dcterms:modified xsi:type="dcterms:W3CDTF">2011-05-12T21:16:00Z</dcterms:modified>
</cp:coreProperties>
</file>